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C4D42" w14:textId="77777777" w:rsidR="008B3657" w:rsidRPr="00C45C0A" w:rsidRDefault="008B3657" w:rsidP="008B3657">
      <w:pPr>
        <w:pStyle w:val="Title"/>
      </w:pPr>
      <w:r w:rsidRPr="00C45C0A">
        <w:t>FINANCIAL</w:t>
      </w:r>
      <w:r w:rsidRPr="00C45C0A">
        <w:rPr>
          <w:spacing w:val="-10"/>
        </w:rPr>
        <w:t xml:space="preserve"> </w:t>
      </w:r>
      <w:r w:rsidRPr="00C45C0A">
        <w:t>DOCUMENTS</w:t>
      </w:r>
      <w:r w:rsidRPr="00C45C0A">
        <w:rPr>
          <w:spacing w:val="-13"/>
        </w:rPr>
        <w:t xml:space="preserve"> </w:t>
      </w:r>
      <w:r w:rsidRPr="00C45C0A">
        <w:t>FOR</w:t>
      </w:r>
      <w:r w:rsidRPr="00C45C0A">
        <w:rPr>
          <w:spacing w:val="-10"/>
        </w:rPr>
        <w:t xml:space="preserve"> </w:t>
      </w:r>
      <w:r w:rsidRPr="00C45C0A">
        <w:t>ELIGIBILITY</w:t>
      </w:r>
      <w:r w:rsidRPr="00C45C0A">
        <w:rPr>
          <w:spacing w:val="-12"/>
        </w:rPr>
        <w:t xml:space="preserve"> </w:t>
      </w:r>
      <w:r w:rsidRPr="00C45C0A">
        <w:rPr>
          <w:spacing w:val="-2"/>
        </w:rPr>
        <w:t>CHECK</w:t>
      </w:r>
    </w:p>
    <w:p w14:paraId="230CC31B" w14:textId="77777777" w:rsidR="008B3657" w:rsidRPr="00C45C0A" w:rsidRDefault="008B3657" w:rsidP="008B3657">
      <w:pPr>
        <w:pStyle w:val="BodyText"/>
        <w:spacing w:before="53"/>
        <w:rPr>
          <w:b/>
        </w:rPr>
      </w:pPr>
    </w:p>
    <w:p w14:paraId="3BA5AC64" w14:textId="77777777" w:rsidR="008B3657" w:rsidRPr="00C45C0A" w:rsidRDefault="008B3657" w:rsidP="00C45C0A">
      <w:pPr>
        <w:pStyle w:val="ListParagraph"/>
        <w:numPr>
          <w:ilvl w:val="0"/>
          <w:numId w:val="2"/>
        </w:numPr>
        <w:tabs>
          <w:tab w:val="left" w:pos="458"/>
          <w:tab w:val="left" w:pos="460"/>
        </w:tabs>
        <w:spacing w:line="264" w:lineRule="auto"/>
        <w:jc w:val="both"/>
        <w:rPr>
          <w:sz w:val="19"/>
        </w:rPr>
      </w:pPr>
      <w:r w:rsidRPr="00C45C0A">
        <w:rPr>
          <w:sz w:val="19"/>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14:paraId="5DD33A0A" w14:textId="77777777" w:rsidR="008B3657" w:rsidRPr="00C45C0A" w:rsidRDefault="008B3657" w:rsidP="008B3657">
      <w:pPr>
        <w:pStyle w:val="BodyText"/>
        <w:spacing w:before="18"/>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3601"/>
        <w:gridCol w:w="2523"/>
      </w:tblGrid>
      <w:tr w:rsidR="00C45C0A" w:rsidRPr="00C45C0A" w14:paraId="4C7ACC23" w14:textId="77777777" w:rsidTr="00317D05">
        <w:trPr>
          <w:trHeight w:val="315"/>
        </w:trPr>
        <w:tc>
          <w:tcPr>
            <w:tcW w:w="449" w:type="dxa"/>
          </w:tcPr>
          <w:p w14:paraId="0B6676F0" w14:textId="77777777" w:rsidR="008B3657" w:rsidRPr="00C45C0A" w:rsidRDefault="008B3657" w:rsidP="00317D05">
            <w:pPr>
              <w:pStyle w:val="TableParagraph"/>
              <w:rPr>
                <w:rFonts w:ascii="Times New Roman"/>
                <w:sz w:val="18"/>
              </w:rPr>
            </w:pPr>
          </w:p>
        </w:tc>
        <w:tc>
          <w:tcPr>
            <w:tcW w:w="3601" w:type="dxa"/>
          </w:tcPr>
          <w:p w14:paraId="74ED9ED7" w14:textId="77777777" w:rsidR="008B3657" w:rsidRPr="00C45C0A" w:rsidRDefault="008B3657" w:rsidP="00317D05">
            <w:pPr>
              <w:pStyle w:val="TableParagraph"/>
              <w:rPr>
                <w:rFonts w:ascii="Times New Roman"/>
                <w:sz w:val="18"/>
              </w:rPr>
            </w:pPr>
          </w:p>
        </w:tc>
        <w:tc>
          <w:tcPr>
            <w:tcW w:w="2523" w:type="dxa"/>
          </w:tcPr>
          <w:p w14:paraId="5AF38D26" w14:textId="77777777" w:rsidR="008B3657" w:rsidRPr="00C45C0A" w:rsidRDefault="008B3657" w:rsidP="00317D05">
            <w:pPr>
              <w:pStyle w:val="TableParagraph"/>
              <w:tabs>
                <w:tab w:val="left" w:pos="1842"/>
              </w:tabs>
              <w:spacing w:before="51"/>
              <w:ind w:left="756"/>
              <w:rPr>
                <w:sz w:val="20"/>
              </w:rPr>
            </w:pPr>
            <w:r w:rsidRPr="00C45C0A">
              <w:rPr>
                <w:sz w:val="20"/>
              </w:rPr>
              <w:t>Year</w:t>
            </w:r>
            <w:r w:rsidRPr="00C45C0A">
              <w:rPr>
                <w:spacing w:val="-7"/>
                <w:sz w:val="20"/>
              </w:rPr>
              <w:t xml:space="preserve"> </w:t>
            </w:r>
            <w:r w:rsidRPr="00C45C0A">
              <w:rPr>
                <w:spacing w:val="-5"/>
                <w:sz w:val="20"/>
              </w:rPr>
              <w:t>20</w:t>
            </w:r>
            <w:r w:rsidRPr="00C45C0A">
              <w:rPr>
                <w:sz w:val="20"/>
                <w:u w:val="single"/>
              </w:rPr>
              <w:tab/>
            </w:r>
          </w:p>
        </w:tc>
      </w:tr>
      <w:tr w:rsidR="00C45C0A" w:rsidRPr="00C45C0A" w14:paraId="6BA15D4D" w14:textId="77777777" w:rsidTr="00317D05">
        <w:trPr>
          <w:trHeight w:val="316"/>
        </w:trPr>
        <w:tc>
          <w:tcPr>
            <w:tcW w:w="449" w:type="dxa"/>
          </w:tcPr>
          <w:p w14:paraId="1DF632AF" w14:textId="77777777" w:rsidR="008B3657" w:rsidRPr="00C45C0A" w:rsidRDefault="008B3657" w:rsidP="00317D05">
            <w:pPr>
              <w:pStyle w:val="TableParagraph"/>
              <w:spacing w:before="52"/>
              <w:ind w:right="25"/>
              <w:jc w:val="center"/>
              <w:rPr>
                <w:sz w:val="20"/>
              </w:rPr>
            </w:pPr>
            <w:r w:rsidRPr="00C45C0A">
              <w:rPr>
                <w:spacing w:val="-5"/>
                <w:sz w:val="20"/>
              </w:rPr>
              <w:t>1.</w:t>
            </w:r>
          </w:p>
        </w:tc>
        <w:tc>
          <w:tcPr>
            <w:tcW w:w="3601" w:type="dxa"/>
          </w:tcPr>
          <w:p w14:paraId="0903207F" w14:textId="77777777" w:rsidR="008B3657" w:rsidRPr="00C45C0A" w:rsidRDefault="008B3657" w:rsidP="00317D05">
            <w:pPr>
              <w:pStyle w:val="TableParagraph"/>
              <w:spacing w:before="52"/>
              <w:ind w:left="115"/>
              <w:rPr>
                <w:sz w:val="20"/>
              </w:rPr>
            </w:pPr>
            <w:r w:rsidRPr="00C45C0A">
              <w:rPr>
                <w:sz w:val="20"/>
              </w:rPr>
              <w:t>Total</w:t>
            </w:r>
            <w:r w:rsidRPr="00C45C0A">
              <w:rPr>
                <w:spacing w:val="-6"/>
                <w:sz w:val="20"/>
              </w:rPr>
              <w:t xml:space="preserve"> </w:t>
            </w:r>
            <w:r w:rsidRPr="00C45C0A">
              <w:rPr>
                <w:spacing w:val="-2"/>
                <w:sz w:val="20"/>
              </w:rPr>
              <w:t>Assets</w:t>
            </w:r>
          </w:p>
        </w:tc>
        <w:tc>
          <w:tcPr>
            <w:tcW w:w="2523" w:type="dxa"/>
          </w:tcPr>
          <w:p w14:paraId="58024F19" w14:textId="77777777" w:rsidR="008B3657" w:rsidRPr="00C45C0A" w:rsidRDefault="008B3657" w:rsidP="00317D05">
            <w:pPr>
              <w:pStyle w:val="TableParagraph"/>
              <w:rPr>
                <w:rFonts w:ascii="Times New Roman"/>
                <w:sz w:val="18"/>
              </w:rPr>
            </w:pPr>
          </w:p>
        </w:tc>
      </w:tr>
      <w:tr w:rsidR="00C45C0A" w:rsidRPr="00C45C0A" w14:paraId="565F3FC2" w14:textId="77777777" w:rsidTr="00317D05">
        <w:trPr>
          <w:trHeight w:val="316"/>
        </w:trPr>
        <w:tc>
          <w:tcPr>
            <w:tcW w:w="449" w:type="dxa"/>
          </w:tcPr>
          <w:p w14:paraId="28855068" w14:textId="77777777" w:rsidR="008B3657" w:rsidRPr="00C45C0A" w:rsidRDefault="008B3657" w:rsidP="00317D05">
            <w:pPr>
              <w:pStyle w:val="TableParagraph"/>
              <w:spacing w:before="52"/>
              <w:ind w:right="25"/>
              <w:jc w:val="center"/>
              <w:rPr>
                <w:sz w:val="20"/>
              </w:rPr>
            </w:pPr>
            <w:r w:rsidRPr="00C45C0A">
              <w:rPr>
                <w:spacing w:val="-5"/>
                <w:sz w:val="20"/>
              </w:rPr>
              <w:t>2.</w:t>
            </w:r>
          </w:p>
        </w:tc>
        <w:tc>
          <w:tcPr>
            <w:tcW w:w="3601" w:type="dxa"/>
          </w:tcPr>
          <w:p w14:paraId="1D6A5BF5" w14:textId="77777777" w:rsidR="008B3657" w:rsidRPr="00C45C0A" w:rsidRDefault="008B3657" w:rsidP="00317D05">
            <w:pPr>
              <w:pStyle w:val="TableParagraph"/>
              <w:spacing w:before="52"/>
              <w:ind w:left="115"/>
              <w:rPr>
                <w:sz w:val="20"/>
              </w:rPr>
            </w:pPr>
            <w:r w:rsidRPr="00C45C0A">
              <w:rPr>
                <w:sz w:val="20"/>
              </w:rPr>
              <w:t>Current</w:t>
            </w:r>
            <w:r w:rsidRPr="00C45C0A">
              <w:rPr>
                <w:spacing w:val="-8"/>
                <w:sz w:val="20"/>
              </w:rPr>
              <w:t xml:space="preserve"> </w:t>
            </w:r>
            <w:r w:rsidRPr="00C45C0A">
              <w:rPr>
                <w:spacing w:val="-2"/>
                <w:sz w:val="20"/>
              </w:rPr>
              <w:t>Assets</w:t>
            </w:r>
          </w:p>
        </w:tc>
        <w:tc>
          <w:tcPr>
            <w:tcW w:w="2523" w:type="dxa"/>
          </w:tcPr>
          <w:p w14:paraId="145685FF" w14:textId="77777777" w:rsidR="008B3657" w:rsidRPr="00C45C0A" w:rsidRDefault="008B3657" w:rsidP="00317D05">
            <w:pPr>
              <w:pStyle w:val="TableParagraph"/>
              <w:rPr>
                <w:rFonts w:ascii="Times New Roman"/>
                <w:sz w:val="18"/>
              </w:rPr>
            </w:pPr>
          </w:p>
        </w:tc>
      </w:tr>
      <w:tr w:rsidR="00C45C0A" w:rsidRPr="00C45C0A" w14:paraId="39F06541" w14:textId="77777777" w:rsidTr="00317D05">
        <w:trPr>
          <w:trHeight w:val="314"/>
        </w:trPr>
        <w:tc>
          <w:tcPr>
            <w:tcW w:w="449" w:type="dxa"/>
          </w:tcPr>
          <w:p w14:paraId="1F1DD131" w14:textId="77777777" w:rsidR="008B3657" w:rsidRPr="00C45C0A" w:rsidRDefault="008B3657" w:rsidP="00317D05">
            <w:pPr>
              <w:pStyle w:val="TableParagraph"/>
              <w:spacing w:before="52" w:line="242" w:lineRule="exact"/>
              <w:ind w:right="25"/>
              <w:jc w:val="center"/>
              <w:rPr>
                <w:sz w:val="20"/>
              </w:rPr>
            </w:pPr>
            <w:r w:rsidRPr="00C45C0A">
              <w:rPr>
                <w:spacing w:val="-5"/>
                <w:sz w:val="20"/>
              </w:rPr>
              <w:t>3.</w:t>
            </w:r>
          </w:p>
        </w:tc>
        <w:tc>
          <w:tcPr>
            <w:tcW w:w="3601" w:type="dxa"/>
          </w:tcPr>
          <w:p w14:paraId="55EF04DD" w14:textId="77777777" w:rsidR="008B3657" w:rsidRPr="00C45C0A" w:rsidRDefault="008B3657" w:rsidP="00317D05">
            <w:pPr>
              <w:pStyle w:val="TableParagraph"/>
              <w:spacing w:before="52" w:line="242" w:lineRule="exact"/>
              <w:ind w:left="115"/>
              <w:rPr>
                <w:sz w:val="20"/>
              </w:rPr>
            </w:pPr>
            <w:r w:rsidRPr="00C45C0A">
              <w:rPr>
                <w:sz w:val="20"/>
              </w:rPr>
              <w:t>Total</w:t>
            </w:r>
            <w:r w:rsidRPr="00C45C0A">
              <w:rPr>
                <w:spacing w:val="-6"/>
                <w:sz w:val="20"/>
              </w:rPr>
              <w:t xml:space="preserve"> </w:t>
            </w:r>
            <w:r w:rsidRPr="00C45C0A">
              <w:rPr>
                <w:spacing w:val="-2"/>
                <w:sz w:val="20"/>
              </w:rPr>
              <w:t>Liabilities</w:t>
            </w:r>
          </w:p>
        </w:tc>
        <w:tc>
          <w:tcPr>
            <w:tcW w:w="2523" w:type="dxa"/>
          </w:tcPr>
          <w:p w14:paraId="4D9A77BD" w14:textId="77777777" w:rsidR="008B3657" w:rsidRPr="00C45C0A" w:rsidRDefault="008B3657" w:rsidP="00317D05">
            <w:pPr>
              <w:pStyle w:val="TableParagraph"/>
              <w:rPr>
                <w:rFonts w:ascii="Times New Roman"/>
                <w:sz w:val="18"/>
              </w:rPr>
            </w:pPr>
          </w:p>
        </w:tc>
      </w:tr>
      <w:tr w:rsidR="00C45C0A" w:rsidRPr="00C45C0A" w14:paraId="10641122" w14:textId="77777777" w:rsidTr="00317D05">
        <w:trPr>
          <w:trHeight w:val="315"/>
        </w:trPr>
        <w:tc>
          <w:tcPr>
            <w:tcW w:w="449" w:type="dxa"/>
          </w:tcPr>
          <w:p w14:paraId="56692F0D" w14:textId="77777777" w:rsidR="008B3657" w:rsidRPr="00C45C0A" w:rsidRDefault="008B3657" w:rsidP="00317D05">
            <w:pPr>
              <w:pStyle w:val="TableParagraph"/>
              <w:spacing w:before="52"/>
              <w:ind w:right="25"/>
              <w:jc w:val="center"/>
              <w:rPr>
                <w:sz w:val="20"/>
              </w:rPr>
            </w:pPr>
            <w:r w:rsidRPr="00C45C0A">
              <w:rPr>
                <w:spacing w:val="-5"/>
                <w:sz w:val="20"/>
              </w:rPr>
              <w:t>4.</w:t>
            </w:r>
          </w:p>
        </w:tc>
        <w:tc>
          <w:tcPr>
            <w:tcW w:w="3601" w:type="dxa"/>
          </w:tcPr>
          <w:p w14:paraId="1C3EE7A8" w14:textId="77777777" w:rsidR="008B3657" w:rsidRPr="00C45C0A" w:rsidRDefault="008B3657" w:rsidP="00317D05">
            <w:pPr>
              <w:pStyle w:val="TableParagraph"/>
              <w:spacing w:before="52"/>
              <w:ind w:left="115"/>
              <w:rPr>
                <w:sz w:val="20"/>
              </w:rPr>
            </w:pPr>
            <w:r w:rsidRPr="00C45C0A">
              <w:rPr>
                <w:sz w:val="20"/>
              </w:rPr>
              <w:t>Current</w:t>
            </w:r>
            <w:r w:rsidRPr="00C45C0A">
              <w:rPr>
                <w:spacing w:val="-7"/>
                <w:sz w:val="20"/>
              </w:rPr>
              <w:t xml:space="preserve"> </w:t>
            </w:r>
            <w:r w:rsidRPr="00C45C0A">
              <w:rPr>
                <w:spacing w:val="-2"/>
                <w:sz w:val="20"/>
              </w:rPr>
              <w:t>Liabilities</w:t>
            </w:r>
          </w:p>
        </w:tc>
        <w:tc>
          <w:tcPr>
            <w:tcW w:w="2523" w:type="dxa"/>
          </w:tcPr>
          <w:p w14:paraId="3449DB05" w14:textId="77777777" w:rsidR="008B3657" w:rsidRPr="00C45C0A" w:rsidRDefault="008B3657" w:rsidP="00317D05">
            <w:pPr>
              <w:pStyle w:val="TableParagraph"/>
              <w:rPr>
                <w:rFonts w:ascii="Times New Roman"/>
                <w:sz w:val="18"/>
              </w:rPr>
            </w:pPr>
          </w:p>
        </w:tc>
      </w:tr>
      <w:tr w:rsidR="00C45C0A" w:rsidRPr="00C45C0A" w14:paraId="562CEDFD" w14:textId="77777777" w:rsidTr="00317D05">
        <w:trPr>
          <w:trHeight w:val="315"/>
        </w:trPr>
        <w:tc>
          <w:tcPr>
            <w:tcW w:w="449" w:type="dxa"/>
          </w:tcPr>
          <w:p w14:paraId="69F1EF4F" w14:textId="77777777" w:rsidR="008B3657" w:rsidRPr="00C45C0A" w:rsidRDefault="008B3657" w:rsidP="00317D05">
            <w:pPr>
              <w:pStyle w:val="TableParagraph"/>
              <w:spacing w:before="54" w:line="242" w:lineRule="exact"/>
              <w:ind w:right="25"/>
              <w:jc w:val="center"/>
              <w:rPr>
                <w:sz w:val="20"/>
              </w:rPr>
            </w:pPr>
            <w:r w:rsidRPr="00C45C0A">
              <w:rPr>
                <w:spacing w:val="-5"/>
                <w:sz w:val="20"/>
              </w:rPr>
              <w:t>5.</w:t>
            </w:r>
          </w:p>
        </w:tc>
        <w:tc>
          <w:tcPr>
            <w:tcW w:w="3601" w:type="dxa"/>
          </w:tcPr>
          <w:p w14:paraId="01769F1E" w14:textId="77777777" w:rsidR="008B3657" w:rsidRPr="00C45C0A" w:rsidRDefault="008B3657" w:rsidP="00317D05">
            <w:pPr>
              <w:pStyle w:val="TableParagraph"/>
              <w:spacing w:before="54" w:line="242" w:lineRule="exact"/>
              <w:ind w:left="115"/>
              <w:rPr>
                <w:sz w:val="20"/>
              </w:rPr>
            </w:pPr>
            <w:r w:rsidRPr="00C45C0A">
              <w:rPr>
                <w:sz w:val="20"/>
              </w:rPr>
              <w:t>Net</w:t>
            </w:r>
            <w:r w:rsidRPr="00C45C0A">
              <w:rPr>
                <w:spacing w:val="-6"/>
                <w:sz w:val="20"/>
              </w:rPr>
              <w:t xml:space="preserve"> </w:t>
            </w:r>
            <w:r w:rsidRPr="00C45C0A">
              <w:rPr>
                <w:sz w:val="20"/>
              </w:rPr>
              <w:t>Worth</w:t>
            </w:r>
            <w:r w:rsidRPr="00C45C0A">
              <w:rPr>
                <w:spacing w:val="-6"/>
                <w:sz w:val="20"/>
              </w:rPr>
              <w:t xml:space="preserve"> </w:t>
            </w:r>
            <w:r w:rsidRPr="00C45C0A">
              <w:rPr>
                <w:sz w:val="20"/>
              </w:rPr>
              <w:t>(1-</w:t>
            </w:r>
            <w:r w:rsidRPr="00C45C0A">
              <w:rPr>
                <w:spacing w:val="-5"/>
                <w:sz w:val="20"/>
              </w:rPr>
              <w:t>3)</w:t>
            </w:r>
          </w:p>
        </w:tc>
        <w:tc>
          <w:tcPr>
            <w:tcW w:w="2523" w:type="dxa"/>
          </w:tcPr>
          <w:p w14:paraId="3EC2E737" w14:textId="77777777" w:rsidR="008B3657" w:rsidRPr="00C45C0A" w:rsidRDefault="008B3657" w:rsidP="00317D05">
            <w:pPr>
              <w:pStyle w:val="TableParagraph"/>
              <w:rPr>
                <w:rFonts w:ascii="Times New Roman"/>
                <w:sz w:val="18"/>
              </w:rPr>
            </w:pPr>
          </w:p>
        </w:tc>
      </w:tr>
      <w:tr w:rsidR="008B3657" w:rsidRPr="00C45C0A" w14:paraId="50682896" w14:textId="77777777" w:rsidTr="00317D05">
        <w:trPr>
          <w:trHeight w:val="319"/>
        </w:trPr>
        <w:tc>
          <w:tcPr>
            <w:tcW w:w="449" w:type="dxa"/>
          </w:tcPr>
          <w:p w14:paraId="14B2F361" w14:textId="77777777" w:rsidR="008B3657" w:rsidRPr="00C45C0A" w:rsidRDefault="008B3657" w:rsidP="00317D05">
            <w:pPr>
              <w:pStyle w:val="TableParagraph"/>
              <w:spacing w:before="54"/>
              <w:ind w:right="25"/>
              <w:jc w:val="center"/>
              <w:rPr>
                <w:sz w:val="20"/>
              </w:rPr>
            </w:pPr>
            <w:r w:rsidRPr="00C45C0A">
              <w:rPr>
                <w:spacing w:val="-5"/>
                <w:sz w:val="20"/>
              </w:rPr>
              <w:t>6.</w:t>
            </w:r>
          </w:p>
        </w:tc>
        <w:tc>
          <w:tcPr>
            <w:tcW w:w="3601" w:type="dxa"/>
          </w:tcPr>
          <w:p w14:paraId="302F9C5E" w14:textId="77777777" w:rsidR="008B3657" w:rsidRPr="00C45C0A" w:rsidRDefault="008B3657" w:rsidP="00317D05">
            <w:pPr>
              <w:pStyle w:val="TableParagraph"/>
              <w:spacing w:before="54"/>
              <w:ind w:left="115"/>
              <w:rPr>
                <w:sz w:val="20"/>
              </w:rPr>
            </w:pPr>
            <w:r w:rsidRPr="00C45C0A">
              <w:rPr>
                <w:sz w:val="20"/>
              </w:rPr>
              <w:t>Net</w:t>
            </w:r>
            <w:r w:rsidRPr="00C45C0A">
              <w:rPr>
                <w:spacing w:val="-7"/>
                <w:sz w:val="20"/>
              </w:rPr>
              <w:t xml:space="preserve"> </w:t>
            </w:r>
            <w:r w:rsidRPr="00C45C0A">
              <w:rPr>
                <w:sz w:val="20"/>
              </w:rPr>
              <w:t>Working</w:t>
            </w:r>
            <w:r w:rsidRPr="00C45C0A">
              <w:rPr>
                <w:spacing w:val="-7"/>
                <w:sz w:val="20"/>
              </w:rPr>
              <w:t xml:space="preserve"> </w:t>
            </w:r>
            <w:r w:rsidRPr="00C45C0A">
              <w:rPr>
                <w:sz w:val="20"/>
              </w:rPr>
              <w:t>Capital</w:t>
            </w:r>
            <w:r w:rsidRPr="00C45C0A">
              <w:rPr>
                <w:spacing w:val="-5"/>
                <w:sz w:val="20"/>
              </w:rPr>
              <w:t xml:space="preserve"> </w:t>
            </w:r>
            <w:r w:rsidRPr="00C45C0A">
              <w:rPr>
                <w:sz w:val="20"/>
              </w:rPr>
              <w:t>(2-</w:t>
            </w:r>
            <w:r w:rsidRPr="00C45C0A">
              <w:rPr>
                <w:spacing w:val="-5"/>
                <w:sz w:val="20"/>
              </w:rPr>
              <w:t>4)</w:t>
            </w:r>
          </w:p>
        </w:tc>
        <w:tc>
          <w:tcPr>
            <w:tcW w:w="2523" w:type="dxa"/>
          </w:tcPr>
          <w:p w14:paraId="2D8E8A9B" w14:textId="77777777" w:rsidR="008B3657" w:rsidRPr="00C45C0A" w:rsidRDefault="008B3657" w:rsidP="00317D05">
            <w:pPr>
              <w:pStyle w:val="TableParagraph"/>
              <w:rPr>
                <w:rFonts w:ascii="Times New Roman"/>
                <w:sz w:val="18"/>
              </w:rPr>
            </w:pPr>
          </w:p>
        </w:tc>
      </w:tr>
    </w:tbl>
    <w:p w14:paraId="46E9D8E2" w14:textId="77777777" w:rsidR="008B3657" w:rsidRPr="00C45C0A" w:rsidRDefault="008B3657" w:rsidP="008B3657">
      <w:pPr>
        <w:pStyle w:val="BodyText"/>
        <w:spacing w:before="42"/>
        <w:rPr>
          <w:sz w:val="19"/>
        </w:rPr>
      </w:pPr>
    </w:p>
    <w:p w14:paraId="14324081" w14:textId="7FDAF2C3" w:rsidR="008B3657" w:rsidRPr="00C45C0A" w:rsidRDefault="008B3657" w:rsidP="00C45C0A">
      <w:pPr>
        <w:pStyle w:val="ListParagraph"/>
        <w:numPr>
          <w:ilvl w:val="0"/>
          <w:numId w:val="2"/>
        </w:numPr>
        <w:tabs>
          <w:tab w:val="left" w:pos="460"/>
        </w:tabs>
        <w:spacing w:line="264" w:lineRule="auto"/>
        <w:jc w:val="both"/>
        <w:rPr>
          <w:sz w:val="20"/>
        </w:rPr>
      </w:pPr>
      <w:r w:rsidRPr="00C45C0A">
        <w:rPr>
          <w:sz w:val="20"/>
        </w:rPr>
        <w:t xml:space="preserve">The computation of a bidder’s NFCC must be at least equal to the ABC to be bid, calculated as follows: </w:t>
      </w:r>
    </w:p>
    <w:p w14:paraId="66E145A4" w14:textId="77777777" w:rsidR="008B3657" w:rsidRPr="00C45C0A" w:rsidRDefault="008B3657" w:rsidP="008B3657">
      <w:pPr>
        <w:pStyle w:val="BodyText"/>
        <w:spacing w:before="21"/>
      </w:pPr>
    </w:p>
    <w:p w14:paraId="6B3987EE" w14:textId="0DA023F2" w:rsidR="008B3657" w:rsidRPr="00C45C0A" w:rsidRDefault="008B3657" w:rsidP="008B3657">
      <w:pPr>
        <w:pStyle w:val="BodyText"/>
        <w:spacing w:line="259" w:lineRule="auto"/>
        <w:ind w:left="820" w:right="99"/>
        <w:jc w:val="both"/>
        <w:rPr>
          <w:u w:val="single"/>
        </w:rPr>
      </w:pPr>
      <w:r w:rsidRPr="00C45C0A">
        <w:t>NFCC</w:t>
      </w:r>
      <w:r w:rsidRPr="00C45C0A">
        <w:rPr>
          <w:spacing w:val="-1"/>
        </w:rPr>
        <w:t xml:space="preserve"> </w:t>
      </w:r>
      <w:r w:rsidRPr="00C45C0A">
        <w:t>= [(Current assets</w:t>
      </w:r>
      <w:r w:rsidRPr="00C45C0A">
        <w:rPr>
          <w:spacing w:val="-1"/>
        </w:rPr>
        <w:t xml:space="preserve"> </w:t>
      </w:r>
      <w:r w:rsidRPr="00C45C0A">
        <w:t>minus</w:t>
      </w:r>
      <w:r w:rsidRPr="00C45C0A">
        <w:rPr>
          <w:spacing w:val="-1"/>
        </w:rPr>
        <w:t xml:space="preserve"> </w:t>
      </w:r>
      <w:r w:rsidRPr="00C45C0A">
        <w:t>current liabilities)</w:t>
      </w:r>
      <w:r w:rsidRPr="00C45C0A">
        <w:rPr>
          <w:spacing w:val="-1"/>
        </w:rPr>
        <w:t xml:space="preserve"> </w:t>
      </w:r>
      <w:r w:rsidRPr="00C45C0A">
        <w:t>(15)] minus</w:t>
      </w:r>
      <w:r w:rsidRPr="00C45C0A">
        <w:rPr>
          <w:spacing w:val="-1"/>
        </w:rPr>
        <w:t xml:space="preserve"> </w:t>
      </w:r>
      <w:r w:rsidRPr="00C45C0A">
        <w:t>the</w:t>
      </w:r>
      <w:r w:rsidRPr="00C45C0A">
        <w:rPr>
          <w:spacing w:val="-2"/>
        </w:rPr>
        <w:t xml:space="preserve"> </w:t>
      </w:r>
      <w:r w:rsidRPr="00C45C0A">
        <w:t>value</w:t>
      </w:r>
      <w:r w:rsidRPr="00C45C0A">
        <w:rPr>
          <w:spacing w:val="-2"/>
        </w:rPr>
        <w:t xml:space="preserve"> </w:t>
      </w:r>
      <w:r w:rsidRPr="00C45C0A">
        <w:t>of all outstanding or uncompleted portions of the projects under ongoing contracts, including awarded contracts yet to be started, coinciding with</w:t>
      </w:r>
      <w:r w:rsidRPr="00C45C0A">
        <w:rPr>
          <w:spacing w:val="40"/>
        </w:rPr>
        <w:t xml:space="preserve"> </w:t>
      </w:r>
      <w:r w:rsidRPr="00C45C0A">
        <w:t xml:space="preserve">the procurement project. </w:t>
      </w:r>
    </w:p>
    <w:p w14:paraId="1920B01F" w14:textId="5BECC64F" w:rsidR="008B3657" w:rsidRPr="00C45C0A" w:rsidRDefault="008B3657" w:rsidP="008B3657">
      <w:pPr>
        <w:pStyle w:val="BodyText"/>
        <w:spacing w:before="22"/>
      </w:pPr>
    </w:p>
    <w:p w14:paraId="25809DCA" w14:textId="56D4F065" w:rsidR="00C45C0A" w:rsidRPr="00C45C0A" w:rsidRDefault="00C45C0A" w:rsidP="008B3657">
      <w:pPr>
        <w:pStyle w:val="BodyText"/>
        <w:spacing w:before="22"/>
      </w:pPr>
      <w:r w:rsidRPr="00C45C0A">
        <w:tab/>
      </w:r>
      <w:r w:rsidRPr="00C45C0A">
        <w:tab/>
        <w:t>NFCC TOTAL = _____________________________________</w:t>
      </w:r>
    </w:p>
    <w:p w14:paraId="6912C651" w14:textId="77777777" w:rsidR="00C45C0A" w:rsidRPr="00C45C0A" w:rsidRDefault="00C45C0A" w:rsidP="008B3657">
      <w:pPr>
        <w:pStyle w:val="BodyText"/>
        <w:spacing w:before="22"/>
      </w:pPr>
    </w:p>
    <w:p w14:paraId="16115614" w14:textId="538FAD31" w:rsidR="008B3657" w:rsidRPr="00C45C0A" w:rsidRDefault="008B3657" w:rsidP="008B3657">
      <w:pPr>
        <w:pStyle w:val="BodyText"/>
        <w:spacing w:before="1" w:line="256" w:lineRule="auto"/>
        <w:ind w:left="820" w:right="101"/>
        <w:jc w:val="both"/>
      </w:pPr>
      <w:r w:rsidRPr="00C45C0A">
        <w:t>The values of the domestic bidder’s current assets and current liabilities shall be</w:t>
      </w:r>
      <w:r w:rsidRPr="00C45C0A">
        <w:rPr>
          <w:spacing w:val="-2"/>
        </w:rPr>
        <w:t xml:space="preserve"> </w:t>
      </w:r>
      <w:r w:rsidRPr="00C45C0A">
        <w:t>based on the</w:t>
      </w:r>
      <w:r w:rsidRPr="00C45C0A">
        <w:rPr>
          <w:spacing w:val="-2"/>
        </w:rPr>
        <w:t xml:space="preserve"> </w:t>
      </w:r>
      <w:r w:rsidRPr="00C45C0A">
        <w:t>latest</w:t>
      </w:r>
      <w:r w:rsidRPr="00C45C0A">
        <w:rPr>
          <w:spacing w:val="-1"/>
        </w:rPr>
        <w:t xml:space="preserve"> AFS </w:t>
      </w:r>
      <w:r w:rsidRPr="00C45C0A">
        <w:t>submitted to</w:t>
      </w:r>
      <w:r w:rsidRPr="00C45C0A">
        <w:rPr>
          <w:spacing w:val="-2"/>
        </w:rPr>
        <w:t xml:space="preserve"> </w:t>
      </w:r>
      <w:r w:rsidRPr="00C45C0A">
        <w:t xml:space="preserve">the </w:t>
      </w:r>
      <w:r w:rsidRPr="00C45C0A">
        <w:rPr>
          <w:spacing w:val="-4"/>
        </w:rPr>
        <w:t>BIR.</w:t>
      </w:r>
    </w:p>
    <w:p w14:paraId="321FF550" w14:textId="77777777" w:rsidR="008B3657" w:rsidRPr="00C45C0A" w:rsidRDefault="008B3657" w:rsidP="008B3657">
      <w:pPr>
        <w:pStyle w:val="BodyText"/>
        <w:spacing w:before="23"/>
      </w:pPr>
    </w:p>
    <w:p w14:paraId="0F12D2CF" w14:textId="49F40612" w:rsidR="008B3657" w:rsidRPr="00C45C0A" w:rsidRDefault="008B3657" w:rsidP="008B3657">
      <w:pPr>
        <w:pStyle w:val="BodyText"/>
        <w:spacing w:line="259" w:lineRule="auto"/>
        <w:ind w:left="820" w:right="96"/>
        <w:jc w:val="both"/>
      </w:pPr>
      <w:r w:rsidRPr="00C45C0A">
        <w:t>For purposes of computing the foreign bidders’ NFCC, the value of the current assets and current liabilities shall be based on their AFS prepared in accordance with international financial reporting standards.</w:t>
      </w:r>
    </w:p>
    <w:p w14:paraId="602E1362" w14:textId="77777777" w:rsidR="008B3657" w:rsidRPr="00C45C0A" w:rsidRDefault="008B3657" w:rsidP="008B3657">
      <w:pPr>
        <w:pStyle w:val="BodyText"/>
        <w:spacing w:before="15"/>
      </w:pPr>
    </w:p>
    <w:p w14:paraId="62AA7BAE" w14:textId="2305A928" w:rsidR="008B3657" w:rsidRPr="00C45C0A" w:rsidRDefault="0054303A" w:rsidP="0054303A">
      <w:pPr>
        <w:pStyle w:val="BodyText"/>
        <w:spacing w:line="256" w:lineRule="auto"/>
        <w:ind w:left="820" w:right="104"/>
        <w:jc w:val="both"/>
        <w:rPr>
          <w:u w:val="single"/>
        </w:rPr>
      </w:pPr>
      <w:r w:rsidRPr="00C45C0A">
        <w:t xml:space="preserve">If the bidder </w:t>
      </w:r>
      <w:proofErr w:type="gramStart"/>
      <w:r w:rsidR="008B3657" w:rsidRPr="00C45C0A">
        <w:t>submit</w:t>
      </w:r>
      <w:proofErr w:type="gramEnd"/>
      <w:r w:rsidR="008B3657" w:rsidRPr="00C45C0A">
        <w:t xml:space="preserve"> a committed Line of Credit, it</w:t>
      </w:r>
      <w:r w:rsidR="008B3657" w:rsidRPr="00C45C0A">
        <w:rPr>
          <w:spacing w:val="40"/>
        </w:rPr>
        <w:t xml:space="preserve"> </w:t>
      </w:r>
      <w:r w:rsidR="008B3657" w:rsidRPr="00C45C0A">
        <w:t>must</w:t>
      </w:r>
      <w:r w:rsidR="008B3657" w:rsidRPr="00C45C0A">
        <w:rPr>
          <w:spacing w:val="-2"/>
        </w:rPr>
        <w:t xml:space="preserve"> </w:t>
      </w:r>
      <w:r w:rsidR="008B3657" w:rsidRPr="00C45C0A">
        <w:t>be</w:t>
      </w:r>
      <w:r w:rsidR="008B3657" w:rsidRPr="00C45C0A">
        <w:rPr>
          <w:spacing w:val="-3"/>
        </w:rPr>
        <w:t xml:space="preserve"> </w:t>
      </w:r>
      <w:r w:rsidR="008B3657" w:rsidRPr="00C45C0A">
        <w:t>at</w:t>
      </w:r>
      <w:r w:rsidR="008B3657" w:rsidRPr="00C45C0A">
        <w:rPr>
          <w:spacing w:val="-3"/>
        </w:rPr>
        <w:t xml:space="preserve"> </w:t>
      </w:r>
      <w:r w:rsidR="008B3657" w:rsidRPr="00C45C0A">
        <w:t>least</w:t>
      </w:r>
      <w:r w:rsidR="008B3657" w:rsidRPr="00C45C0A">
        <w:rPr>
          <w:spacing w:val="-2"/>
        </w:rPr>
        <w:t xml:space="preserve"> </w:t>
      </w:r>
      <w:r w:rsidR="008B3657" w:rsidRPr="00C45C0A">
        <w:t>equal to</w:t>
      </w:r>
      <w:r w:rsidR="008B3657" w:rsidRPr="00C45C0A">
        <w:rPr>
          <w:spacing w:val="-3"/>
        </w:rPr>
        <w:t xml:space="preserve"> </w:t>
      </w:r>
      <w:r w:rsidR="008B3657" w:rsidRPr="00C45C0A">
        <w:t>ten</w:t>
      </w:r>
      <w:r w:rsidR="008B3657" w:rsidRPr="00C45C0A">
        <w:rPr>
          <w:spacing w:val="-1"/>
        </w:rPr>
        <w:t xml:space="preserve"> </w:t>
      </w:r>
      <w:r w:rsidR="008B3657" w:rsidRPr="00C45C0A">
        <w:t>percent</w:t>
      </w:r>
      <w:r w:rsidR="008B3657" w:rsidRPr="00C45C0A">
        <w:rPr>
          <w:spacing w:val="-2"/>
        </w:rPr>
        <w:t xml:space="preserve"> </w:t>
      </w:r>
      <w:r w:rsidR="008B3657" w:rsidRPr="00C45C0A">
        <w:t>(10%)</w:t>
      </w:r>
      <w:r w:rsidR="008B3657" w:rsidRPr="00C45C0A">
        <w:rPr>
          <w:spacing w:val="-2"/>
        </w:rPr>
        <w:t xml:space="preserve"> </w:t>
      </w:r>
      <w:r w:rsidR="008B3657" w:rsidRPr="00C45C0A">
        <w:t>of the</w:t>
      </w:r>
      <w:r w:rsidR="008B3657" w:rsidRPr="00C45C0A">
        <w:rPr>
          <w:spacing w:val="-3"/>
        </w:rPr>
        <w:t xml:space="preserve"> </w:t>
      </w:r>
      <w:r w:rsidR="008B3657" w:rsidRPr="00C45C0A">
        <w:t>ABC</w:t>
      </w:r>
      <w:r w:rsidR="008B3657" w:rsidRPr="00C45C0A">
        <w:rPr>
          <w:spacing w:val="-2"/>
        </w:rPr>
        <w:t xml:space="preserve"> </w:t>
      </w:r>
      <w:r w:rsidR="008B3657" w:rsidRPr="00C45C0A">
        <w:t>to</w:t>
      </w:r>
      <w:r w:rsidR="008B3657" w:rsidRPr="00C45C0A">
        <w:rPr>
          <w:spacing w:val="-3"/>
        </w:rPr>
        <w:t xml:space="preserve"> </w:t>
      </w:r>
      <w:r w:rsidR="008B3657" w:rsidRPr="00C45C0A">
        <w:t>be</w:t>
      </w:r>
      <w:r w:rsidR="008B3657" w:rsidRPr="00C45C0A">
        <w:rPr>
          <w:spacing w:val="-3"/>
        </w:rPr>
        <w:t xml:space="preserve"> </w:t>
      </w:r>
      <w:r w:rsidR="008B3657" w:rsidRPr="00C45C0A">
        <w:t>bid</w:t>
      </w:r>
      <w:r w:rsidR="00C45C0A" w:rsidRPr="00C45C0A">
        <w:t>;</w:t>
      </w:r>
      <w:r w:rsidR="008B3657" w:rsidRPr="00C45C0A">
        <w:rPr>
          <w:spacing w:val="-2"/>
        </w:rPr>
        <w:t xml:space="preserve"> </w:t>
      </w:r>
      <w:r w:rsidRPr="00C45C0A">
        <w:t xml:space="preserve">Provided, That if the same is issued by a foreign bank, it shall be confirmed or authenticated by a local bank. </w:t>
      </w:r>
    </w:p>
    <w:p w14:paraId="385C8989" w14:textId="77777777" w:rsidR="0054303A" w:rsidRPr="00C45C0A" w:rsidRDefault="0054303A" w:rsidP="008B3657">
      <w:pPr>
        <w:pStyle w:val="BodyText"/>
        <w:spacing w:line="256" w:lineRule="auto"/>
        <w:ind w:left="820" w:right="104"/>
        <w:jc w:val="both"/>
      </w:pPr>
    </w:p>
    <w:p w14:paraId="593B4E32" w14:textId="77777777" w:rsidR="008B3657" w:rsidRPr="00C45C0A" w:rsidRDefault="008B3657" w:rsidP="008B3657">
      <w:pPr>
        <w:pStyle w:val="BodyText"/>
        <w:spacing w:line="256" w:lineRule="auto"/>
        <w:ind w:left="100" w:right="104"/>
        <w:jc w:val="both"/>
      </w:pPr>
      <w:r w:rsidRPr="00C45C0A">
        <w:t>Herewith attached are certified true copies of the income tax return and audited financial statement: stamped “RECEIVED” by the BIR or BIR authorized collecting agent for the immediately preceding year.</w:t>
      </w:r>
    </w:p>
    <w:p w14:paraId="5333B439" w14:textId="77777777" w:rsidR="008B3657" w:rsidRPr="00C45C0A" w:rsidRDefault="008B3657" w:rsidP="008B3657">
      <w:pPr>
        <w:pStyle w:val="BodyText"/>
      </w:pPr>
    </w:p>
    <w:p w14:paraId="0195C34E" w14:textId="77777777" w:rsidR="008B3657" w:rsidRPr="00C45C0A" w:rsidRDefault="008B3657" w:rsidP="008B3657">
      <w:pPr>
        <w:pStyle w:val="BodyText"/>
        <w:spacing w:before="44"/>
      </w:pPr>
    </w:p>
    <w:p w14:paraId="69723D95" w14:textId="77777777" w:rsidR="008B3657" w:rsidRPr="00C45C0A" w:rsidRDefault="008B3657" w:rsidP="008B3657">
      <w:pPr>
        <w:pStyle w:val="BodyText"/>
        <w:spacing w:before="1"/>
        <w:ind w:left="81"/>
        <w:jc w:val="both"/>
      </w:pPr>
      <w:r w:rsidRPr="00C45C0A">
        <w:t>Submitted</w:t>
      </w:r>
      <w:r w:rsidRPr="00C45C0A">
        <w:rPr>
          <w:spacing w:val="-13"/>
        </w:rPr>
        <w:t xml:space="preserve"> </w:t>
      </w:r>
      <w:r w:rsidRPr="00C45C0A">
        <w:rPr>
          <w:spacing w:val="-5"/>
        </w:rPr>
        <w:t>by:</w:t>
      </w:r>
    </w:p>
    <w:p w14:paraId="5EB16A73" w14:textId="77777777" w:rsidR="008B3657" w:rsidRPr="00C45C0A" w:rsidRDefault="008B3657" w:rsidP="008B3657">
      <w:pPr>
        <w:pStyle w:val="BodyText"/>
        <w:spacing w:before="237"/>
      </w:pPr>
      <w:r w:rsidRPr="00C45C0A">
        <w:rPr>
          <w:noProof/>
          <w:lang w:val="en-PH" w:eastAsia="en-PH"/>
        </w:rPr>
        <mc:AlternateContent>
          <mc:Choice Requires="wps">
            <w:drawing>
              <wp:anchor distT="0" distB="0" distL="0" distR="0" simplePos="0" relativeHeight="487590400" behindDoc="1" locked="0" layoutInCell="1" allowOverlap="1" wp14:anchorId="16D72B50" wp14:editId="57A54F63">
                <wp:simplePos x="0" y="0"/>
                <wp:positionH relativeFrom="page">
                  <wp:posOffset>1131112</wp:posOffset>
                </wp:positionH>
                <wp:positionV relativeFrom="paragraph">
                  <wp:posOffset>320344</wp:posOffset>
                </wp:positionV>
                <wp:extent cx="3230880" cy="1270"/>
                <wp:effectExtent l="0" t="0" r="0" b="0"/>
                <wp:wrapTopAndBottom/>
                <wp:docPr id="88022603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0880" cy="1270"/>
                        </a:xfrm>
                        <a:custGeom>
                          <a:avLst/>
                          <a:gdLst/>
                          <a:ahLst/>
                          <a:cxnLst/>
                          <a:rect l="l" t="t" r="r" b="b"/>
                          <a:pathLst>
                            <a:path w="3230880">
                              <a:moveTo>
                                <a:pt x="0" y="0"/>
                              </a:moveTo>
                              <a:lnTo>
                                <a:pt x="3230859"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E0E97" id="Graphic 1" o:spid="_x0000_s1026" style="position:absolute;margin-left:89.05pt;margin-top:25.2pt;width:254.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3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FsKwIAAIcEAAAOAAAAZHJzL2Uyb0RvYy54bWysVMFu2zAMvQ/YPwi6L3acLc2MOMXQoMWA&#10;oivQFDsrshwbk0VNVOLk70fJdpJ2t2E+CJT4RPLxUV7eHlvNDsphA6bg00nKmTISysbsCv66uf+0&#10;4Ay9MKXQYFTBTwr57erjh2Vnc5VBDbpUjlEQg3lnC157b/MkQVmrVuAErDLkrMC1wtPW7ZLSiY6i&#10;tzrJ0nSedOBK60AqRDpd906+ivGrSkn/o6pQeaYLTrX5uLq4bsOarJYi3zlh60YOZYh/qKIVjaGk&#10;51Br4QXbu+avUG0jHSBUfiKhTaCqGqkiB2IzTd+xeamFVZELNQftuU34/8LKp8OzY01Z8MUizbJ5&#10;OptzZkRLUj0MXZmGJnUWc8K+2GcXaKJ9BPkLyZG88YQNDphj5dqAJZLsGDt+OndcHT2TdDjLZikl&#10;5kySb5rdREESkY935R79g4IYRxwe0fd6laMl6tGSRzOajlQPeuuot+eM9Hackd7bXm8rfLgXigsm&#10;6y6FhLMWDmoD0evfVU6lXbzaXKMilS9fORtZErZHkBHSUK96I6Ym+5qcNqGKm8/zWRwjBN2U943W&#10;oQp0u+2dduwgwhDHL/CgCG9g1qFfC6x7XHQNMG0GnXppgkhbKE8kfEcaFxx/74VTnOnvhkYrPJPR&#10;cKOxHQ3n9R3ExxQbRDk3x5/CWRbSF9yTsk8wDq7IR9EC9TM23DTwbe+haoKicYb6ioYNTXskOLzM&#10;8Jyu9xF1+X+s/gAAAP//AwBQSwMEFAAGAAgAAAAhAKKAkZHeAAAACQEAAA8AAABkcnMvZG93bnJl&#10;di54bWxMj8FOwzAMhu9IvENkJC6IpZugK6XphJAQt0lsoO2YNSatSJyqydby9nincfztT78/V6vJ&#10;O3HCIXaBFMxnGQikJpiOrILP7dt9ASImTUa7QKjgFyOs6uurSpcmjPSBp02ygksollpBm1JfShmb&#10;Fr2Os9Aj8e47DF4njoOVZtAjl3snF1mWS6874gut7vG1xeZnc/QKvtaF3LnFiO/Lu60dxt6a/doq&#10;dXszvTyDSDilCwxnfVaHmp0O4UgmCsd5WcwZVfCYPYBgIC/yJxCH8yAHWVfy/wf1HwAAAP//AwBQ&#10;SwECLQAUAAYACAAAACEAtoM4kv4AAADhAQAAEwAAAAAAAAAAAAAAAAAAAAAAW0NvbnRlbnRfVHlw&#10;ZXNdLnhtbFBLAQItABQABgAIAAAAIQA4/SH/1gAAAJQBAAALAAAAAAAAAAAAAAAAAC8BAABfcmVs&#10;cy8ucmVsc1BLAQItABQABgAIAAAAIQAfWrFsKwIAAIcEAAAOAAAAAAAAAAAAAAAAAC4CAABkcnMv&#10;ZTJvRG9jLnhtbFBLAQItABQABgAIAAAAIQCigJGR3gAAAAkBAAAPAAAAAAAAAAAAAAAAAIUEAABk&#10;cnMvZG93bnJldi54bWxQSwUGAAAAAAQABADzAAAAkAUAAAAA&#10;" path="m,l3230859,e" filled="f" strokeweight=".20731mm">
                <v:path arrowok="t"/>
                <w10:wrap type="topAndBottom" anchorx="page"/>
              </v:shape>
            </w:pict>
          </mc:Fallback>
        </mc:AlternateContent>
      </w:r>
    </w:p>
    <w:p w14:paraId="574DA39B" w14:textId="77777777" w:rsidR="008B3657" w:rsidRPr="00C45C0A" w:rsidRDefault="008B3657" w:rsidP="008B3657">
      <w:pPr>
        <w:pStyle w:val="BodyText"/>
        <w:spacing w:before="21"/>
        <w:ind w:left="81"/>
      </w:pPr>
      <w:r w:rsidRPr="00C45C0A">
        <w:t>Name</w:t>
      </w:r>
      <w:r w:rsidRPr="00C45C0A">
        <w:rPr>
          <w:spacing w:val="-5"/>
        </w:rPr>
        <w:t xml:space="preserve"> </w:t>
      </w:r>
      <w:r w:rsidRPr="00C45C0A">
        <w:t>of</w:t>
      </w:r>
      <w:r w:rsidRPr="00C45C0A">
        <w:rPr>
          <w:spacing w:val="-5"/>
        </w:rPr>
        <w:t xml:space="preserve"> </w:t>
      </w:r>
      <w:r w:rsidRPr="00C45C0A">
        <w:t>Supplier</w:t>
      </w:r>
      <w:r w:rsidRPr="00C45C0A">
        <w:rPr>
          <w:spacing w:val="-6"/>
        </w:rPr>
        <w:t xml:space="preserve"> </w:t>
      </w:r>
      <w:r w:rsidRPr="00C45C0A">
        <w:t>/</w:t>
      </w:r>
      <w:r w:rsidRPr="00C45C0A">
        <w:rPr>
          <w:spacing w:val="-6"/>
        </w:rPr>
        <w:t xml:space="preserve"> </w:t>
      </w:r>
      <w:r w:rsidRPr="00C45C0A">
        <w:t>Distributor</w:t>
      </w:r>
      <w:r w:rsidRPr="00C45C0A">
        <w:rPr>
          <w:spacing w:val="-7"/>
        </w:rPr>
        <w:t xml:space="preserve"> </w:t>
      </w:r>
      <w:r w:rsidRPr="00C45C0A">
        <w:t>/</w:t>
      </w:r>
      <w:r w:rsidRPr="00C45C0A">
        <w:rPr>
          <w:spacing w:val="-6"/>
        </w:rPr>
        <w:t xml:space="preserve"> </w:t>
      </w:r>
      <w:r w:rsidRPr="00C45C0A">
        <w:rPr>
          <w:spacing w:val="-2"/>
        </w:rPr>
        <w:t>Manufacturer</w:t>
      </w:r>
    </w:p>
    <w:p w14:paraId="588A4561" w14:textId="77777777" w:rsidR="008B3657" w:rsidRPr="00C45C0A" w:rsidRDefault="008B3657" w:rsidP="008B3657">
      <w:pPr>
        <w:pStyle w:val="BodyText"/>
        <w:spacing w:before="238"/>
      </w:pPr>
      <w:bookmarkStart w:id="0" w:name="_GoBack"/>
      <w:bookmarkEnd w:id="0"/>
      <w:r w:rsidRPr="00C45C0A">
        <w:rPr>
          <w:noProof/>
          <w:lang w:val="en-PH" w:eastAsia="en-PH"/>
        </w:rPr>
        <mc:AlternateContent>
          <mc:Choice Requires="wps">
            <w:drawing>
              <wp:anchor distT="0" distB="0" distL="0" distR="0" simplePos="0" relativeHeight="487591424" behindDoc="1" locked="0" layoutInCell="1" allowOverlap="1" wp14:anchorId="7BE3730F" wp14:editId="5FC20E71">
                <wp:simplePos x="0" y="0"/>
                <wp:positionH relativeFrom="page">
                  <wp:posOffset>1131112</wp:posOffset>
                </wp:positionH>
                <wp:positionV relativeFrom="paragraph">
                  <wp:posOffset>320838</wp:posOffset>
                </wp:positionV>
                <wp:extent cx="3312160" cy="1270"/>
                <wp:effectExtent l="0" t="0" r="0" b="0"/>
                <wp:wrapTopAndBottom/>
                <wp:docPr id="64267011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2160" cy="1270"/>
                        </a:xfrm>
                        <a:custGeom>
                          <a:avLst/>
                          <a:gdLst/>
                          <a:ahLst/>
                          <a:cxnLst/>
                          <a:rect l="l" t="t" r="r" b="b"/>
                          <a:pathLst>
                            <a:path w="3312160">
                              <a:moveTo>
                                <a:pt x="0" y="0"/>
                              </a:moveTo>
                              <a:lnTo>
                                <a:pt x="3311631"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4A4E1" id="Graphic 2" o:spid="_x0000_s1026" style="position:absolute;margin-left:89.05pt;margin-top:25.25pt;width:26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31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NLAIAAIcEAAAOAAAAZHJzL2Uyb0RvYy54bWysVMFu2zAMvQ/YPwi6L46dwh2MOMXQoMWA&#10;oivQFDsrshwbkyWNVOLk70fJdpJ2t2E+CJT4RPLxUV7eHTvNDgqwtabk6WzOmTLSVq3Zlfxt8/Dl&#10;K2fohamEtkaV/KSQ360+f1r2rlCZbayuFDAKYrDoXckb712RJCgb1QmcWacMOWsLnfC0hV1Sgegp&#10;eqeTbD7Pk95C5cBKhUin68HJVzF+XSvpf9Q1Ks90yak2H1eI6zasyWopih0I17RyLEP8QxWdaA0l&#10;PYdaCy/YHtq/QnWtBIu29jNpu8TWdStV5EBs0vkHNq+NcCpyoeagO7cJ/19Y+Xx4AdZWJc9vsvx2&#10;nqYLzozoSKrHsStZaFLvsCDsq3uBQBPdk5W/kBzJO0/Y4Ig51tAFLJFkx9jx07nj6uiZpMPFIs3S&#10;nISR5Euz2yhIIorprtyjf1Q2xhGHJ/SDXtVkiWay5NFMJpDqQW8d9fackd7AGem9HfR2wod7obhg&#10;sv5SSDjr7EFtbPT6D5VTaRevNtcoopLmi5SziSVhBwQZIQ31ajBiarKvyWkTqri9yRdxjNDqtnpo&#10;tQ5VIOy29xrYQYQhjl/gQRHewRygXwtsBlx0jTBtRp0GaYJIW1udSPieNC45/t4LUJzp74ZGKzyT&#10;yYDJ2E4GeH1v42OKDaKcm+NPAY6F9CX3pOyznQZXFJNogfoZG24a+23vbd0GReMMDRWNG5r2SHB8&#10;meE5Xe8j6vL/WP0BAAD//wMAUEsDBBQABgAIAAAAIQAOL3cp3wAAAAkBAAAPAAAAZHJzL2Rvd25y&#10;ZXYueG1sTI/BTsMwDIbvSLxDZCRuLCmi61aaToAEKpMQ2obgmjZeW9EkVZJt5e3xTnD87U+/Pxer&#10;yQzsiD70zkpIZgIY2sbp3rYSPnbPNwtgISqr1eAsSvjBAKvy8qJQuXYnu8HjNraMSmzIlYQuxjHn&#10;PDQdGhVmbkRLu73zRkWKvuXaqxOVm4HfCjHnRvWWLnRqxKcOm+/twUgYa/NZPfZv1Zeo9sn7yzq9&#10;8+FVyuur6eEeWMQp/sFw1id1KMmpdgerAxsoZ4uEUAmpSIERMF8uM2D1eZABLwv+/4PyFwAA//8D&#10;AFBLAQItABQABgAIAAAAIQC2gziS/gAAAOEBAAATAAAAAAAAAAAAAAAAAAAAAABbQ29udGVudF9U&#10;eXBlc10ueG1sUEsBAi0AFAAGAAgAAAAhADj9If/WAAAAlAEAAAsAAAAAAAAAAAAAAAAALwEAAF9y&#10;ZWxzLy5yZWxzUEsBAi0AFAAGAAgAAAAhAHb+pQ0sAgAAhwQAAA4AAAAAAAAAAAAAAAAALgIAAGRy&#10;cy9lMm9Eb2MueG1sUEsBAi0AFAAGAAgAAAAhAA4vdynfAAAACQEAAA8AAAAAAAAAAAAAAAAAhgQA&#10;AGRycy9kb3ducmV2LnhtbFBLBQYAAAAABAAEAPMAAACSBQAAAAA=&#10;" path="m,l3311631,e" filled="f" strokeweight=".20731mm">
                <v:path arrowok="t"/>
                <w10:wrap type="topAndBottom" anchorx="page"/>
              </v:shape>
            </w:pict>
          </mc:Fallback>
        </mc:AlternateContent>
      </w:r>
    </w:p>
    <w:p w14:paraId="7ED5F2BA" w14:textId="77777777" w:rsidR="00C45C0A" w:rsidRPr="00C45C0A" w:rsidRDefault="008B3657" w:rsidP="008B3657">
      <w:pPr>
        <w:pStyle w:val="BodyText"/>
        <w:tabs>
          <w:tab w:val="left" w:pos="4531"/>
        </w:tabs>
        <w:spacing w:before="26" w:line="254" w:lineRule="auto"/>
        <w:ind w:left="81" w:right="3965"/>
      </w:pPr>
      <w:r w:rsidRPr="00C45C0A">
        <w:t xml:space="preserve">Signature of Authorized Representative </w:t>
      </w:r>
    </w:p>
    <w:p w14:paraId="2101EB45" w14:textId="77777777" w:rsidR="00C45C0A" w:rsidRPr="00C45C0A" w:rsidRDefault="00C45C0A" w:rsidP="008B3657">
      <w:pPr>
        <w:pStyle w:val="BodyText"/>
        <w:tabs>
          <w:tab w:val="left" w:pos="4531"/>
        </w:tabs>
        <w:spacing w:before="26" w:line="254" w:lineRule="auto"/>
        <w:ind w:left="81" w:right="3965"/>
      </w:pPr>
    </w:p>
    <w:p w14:paraId="4B946C6F" w14:textId="70CDC4C0" w:rsidR="008B3657" w:rsidRPr="00C45C0A" w:rsidRDefault="008B3657" w:rsidP="008B3657">
      <w:pPr>
        <w:pStyle w:val="BodyText"/>
        <w:tabs>
          <w:tab w:val="left" w:pos="4531"/>
        </w:tabs>
        <w:spacing w:before="26" w:line="254" w:lineRule="auto"/>
        <w:ind w:left="81" w:right="3965"/>
      </w:pPr>
      <w:proofErr w:type="gramStart"/>
      <w:r w:rsidRPr="00C45C0A">
        <w:t>Date :</w:t>
      </w:r>
      <w:proofErr w:type="gramEnd"/>
      <w:r w:rsidRPr="00C45C0A">
        <w:t xml:space="preserve"> </w:t>
      </w:r>
      <w:r w:rsidRPr="00C45C0A">
        <w:rPr>
          <w:u w:val="single"/>
        </w:rPr>
        <w:tab/>
      </w:r>
    </w:p>
    <w:p w14:paraId="1810C222" w14:textId="77777777" w:rsidR="008B3657" w:rsidRPr="00C45C0A" w:rsidRDefault="008B3657" w:rsidP="008B3657">
      <w:pPr>
        <w:spacing w:line="152" w:lineRule="exact"/>
        <w:ind w:left="179"/>
        <w:rPr>
          <w:sz w:val="14"/>
        </w:rPr>
      </w:pPr>
      <w:proofErr w:type="spellStart"/>
      <w:proofErr w:type="gramStart"/>
      <w:r w:rsidRPr="00C45C0A">
        <w:rPr>
          <w:i/>
          <w:sz w:val="14"/>
        </w:rPr>
        <w:t>NOTE:</w:t>
      </w:r>
      <w:r w:rsidRPr="00C45C0A">
        <w:rPr>
          <w:sz w:val="14"/>
        </w:rPr>
        <w:t>If</w:t>
      </w:r>
      <w:proofErr w:type="spellEnd"/>
      <w:proofErr w:type="gramEnd"/>
      <w:r w:rsidRPr="00C45C0A">
        <w:rPr>
          <w:spacing w:val="-5"/>
          <w:sz w:val="14"/>
        </w:rPr>
        <w:t xml:space="preserve"> </w:t>
      </w:r>
      <w:r w:rsidRPr="00C45C0A">
        <w:rPr>
          <w:sz w:val="14"/>
        </w:rPr>
        <w:t>Partnership</w:t>
      </w:r>
      <w:r w:rsidRPr="00C45C0A">
        <w:rPr>
          <w:spacing w:val="-4"/>
          <w:sz w:val="14"/>
        </w:rPr>
        <w:t xml:space="preserve"> </w:t>
      </w:r>
      <w:r w:rsidRPr="00C45C0A">
        <w:rPr>
          <w:sz w:val="14"/>
        </w:rPr>
        <w:t>or</w:t>
      </w:r>
      <w:r w:rsidRPr="00C45C0A">
        <w:rPr>
          <w:spacing w:val="-3"/>
          <w:sz w:val="14"/>
        </w:rPr>
        <w:t xml:space="preserve"> </w:t>
      </w:r>
      <w:r w:rsidRPr="00C45C0A">
        <w:rPr>
          <w:sz w:val="14"/>
        </w:rPr>
        <w:t>Joint</w:t>
      </w:r>
      <w:r w:rsidRPr="00C45C0A">
        <w:rPr>
          <w:spacing w:val="-5"/>
          <w:sz w:val="14"/>
        </w:rPr>
        <w:t xml:space="preserve"> </w:t>
      </w:r>
      <w:r w:rsidRPr="00C45C0A">
        <w:rPr>
          <w:sz w:val="14"/>
        </w:rPr>
        <w:t>Venture,</w:t>
      </w:r>
      <w:r w:rsidRPr="00C45C0A">
        <w:rPr>
          <w:spacing w:val="-6"/>
          <w:sz w:val="14"/>
        </w:rPr>
        <w:t xml:space="preserve"> </w:t>
      </w:r>
      <w:r w:rsidRPr="00C45C0A">
        <w:rPr>
          <w:sz w:val="14"/>
        </w:rPr>
        <w:t>each</w:t>
      </w:r>
      <w:r w:rsidRPr="00C45C0A">
        <w:rPr>
          <w:spacing w:val="-5"/>
          <w:sz w:val="14"/>
        </w:rPr>
        <w:t xml:space="preserve"> </w:t>
      </w:r>
      <w:r w:rsidRPr="00C45C0A">
        <w:rPr>
          <w:sz w:val="14"/>
        </w:rPr>
        <w:t>Partner</w:t>
      </w:r>
      <w:r w:rsidRPr="00C45C0A">
        <w:rPr>
          <w:spacing w:val="-4"/>
          <w:sz w:val="14"/>
        </w:rPr>
        <w:t xml:space="preserve"> </w:t>
      </w:r>
      <w:r w:rsidRPr="00C45C0A">
        <w:rPr>
          <w:sz w:val="14"/>
        </w:rPr>
        <w:t>or</w:t>
      </w:r>
      <w:r w:rsidRPr="00C45C0A">
        <w:rPr>
          <w:spacing w:val="-5"/>
          <w:sz w:val="14"/>
        </w:rPr>
        <w:t xml:space="preserve"> </w:t>
      </w:r>
      <w:r w:rsidRPr="00C45C0A">
        <w:rPr>
          <w:sz w:val="14"/>
        </w:rPr>
        <w:t>Member</w:t>
      </w:r>
      <w:r w:rsidRPr="00C45C0A">
        <w:rPr>
          <w:spacing w:val="-3"/>
          <w:sz w:val="14"/>
        </w:rPr>
        <w:t xml:space="preserve"> </w:t>
      </w:r>
      <w:r w:rsidRPr="00C45C0A">
        <w:rPr>
          <w:sz w:val="14"/>
        </w:rPr>
        <w:t>Firm</w:t>
      </w:r>
      <w:r w:rsidRPr="00C45C0A">
        <w:rPr>
          <w:spacing w:val="-4"/>
          <w:sz w:val="14"/>
        </w:rPr>
        <w:t xml:space="preserve"> </w:t>
      </w:r>
      <w:r w:rsidRPr="00C45C0A">
        <w:rPr>
          <w:sz w:val="14"/>
        </w:rPr>
        <w:t>of</w:t>
      </w:r>
      <w:r w:rsidRPr="00C45C0A">
        <w:rPr>
          <w:spacing w:val="-4"/>
          <w:sz w:val="14"/>
        </w:rPr>
        <w:t xml:space="preserve"> </w:t>
      </w:r>
      <w:r w:rsidRPr="00C45C0A">
        <w:rPr>
          <w:sz w:val="14"/>
        </w:rPr>
        <w:t>Joint</w:t>
      </w:r>
      <w:r w:rsidRPr="00C45C0A">
        <w:rPr>
          <w:spacing w:val="-6"/>
          <w:sz w:val="14"/>
        </w:rPr>
        <w:t xml:space="preserve"> </w:t>
      </w:r>
      <w:r w:rsidRPr="00C45C0A">
        <w:rPr>
          <w:sz w:val="14"/>
        </w:rPr>
        <w:t>Venture</w:t>
      </w:r>
      <w:r w:rsidRPr="00C45C0A">
        <w:rPr>
          <w:spacing w:val="-5"/>
          <w:sz w:val="14"/>
        </w:rPr>
        <w:t xml:space="preserve"> </w:t>
      </w:r>
      <w:r w:rsidRPr="00C45C0A">
        <w:rPr>
          <w:sz w:val="14"/>
        </w:rPr>
        <w:t>shall</w:t>
      </w:r>
      <w:r w:rsidRPr="00C45C0A">
        <w:rPr>
          <w:spacing w:val="-6"/>
          <w:sz w:val="14"/>
        </w:rPr>
        <w:t xml:space="preserve"> </w:t>
      </w:r>
      <w:r w:rsidRPr="00C45C0A">
        <w:rPr>
          <w:sz w:val="14"/>
        </w:rPr>
        <w:t>submit</w:t>
      </w:r>
      <w:r w:rsidRPr="00C45C0A">
        <w:rPr>
          <w:spacing w:val="-3"/>
          <w:sz w:val="14"/>
        </w:rPr>
        <w:t xml:space="preserve"> </w:t>
      </w:r>
      <w:r w:rsidRPr="00C45C0A">
        <w:rPr>
          <w:sz w:val="14"/>
        </w:rPr>
        <w:t>the</w:t>
      </w:r>
      <w:r w:rsidRPr="00C45C0A">
        <w:rPr>
          <w:spacing w:val="-5"/>
          <w:sz w:val="14"/>
        </w:rPr>
        <w:t xml:space="preserve"> </w:t>
      </w:r>
      <w:r w:rsidRPr="00C45C0A">
        <w:rPr>
          <w:spacing w:val="-2"/>
          <w:sz w:val="14"/>
        </w:rPr>
        <w:t>above</w:t>
      </w:r>
    </w:p>
    <w:p w14:paraId="55F443BA" w14:textId="77777777" w:rsidR="008B3657" w:rsidRPr="00C45C0A" w:rsidRDefault="008B3657" w:rsidP="008B3657">
      <w:pPr>
        <w:ind w:left="179"/>
        <w:rPr>
          <w:sz w:val="14"/>
        </w:rPr>
      </w:pPr>
      <w:r w:rsidRPr="00C45C0A">
        <w:rPr>
          <w:spacing w:val="-2"/>
          <w:sz w:val="14"/>
        </w:rPr>
        <w:t>requirements.</w:t>
      </w:r>
    </w:p>
    <w:p w14:paraId="4871C340" w14:textId="77777777" w:rsidR="008B3657" w:rsidRPr="00C45C0A" w:rsidRDefault="008B3657">
      <w:pPr>
        <w:ind w:left="179"/>
        <w:rPr>
          <w:sz w:val="14"/>
        </w:rPr>
      </w:pPr>
    </w:p>
    <w:sectPr w:rsidR="008B3657" w:rsidRPr="00C45C0A">
      <w:type w:val="continuous"/>
      <w:pgSz w:w="11900" w:h="16840"/>
      <w:pgMar w:top="13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1689"/>
    <w:multiLevelType w:val="hybridMultilevel"/>
    <w:tmpl w:val="6C465B0C"/>
    <w:lvl w:ilvl="0" w:tplc="FFFFFFFF">
      <w:start w:val="1"/>
      <w:numFmt w:val="upperLetter"/>
      <w:lvlText w:val="%1."/>
      <w:lvlJc w:val="left"/>
      <w:pPr>
        <w:ind w:left="460" w:hanging="360"/>
        <w:jc w:val="left"/>
      </w:pPr>
      <w:rPr>
        <w:rFonts w:hint="default"/>
        <w:spacing w:val="-1"/>
        <w:w w:val="99"/>
        <w:lang w:val="en-US" w:eastAsia="en-US" w:bidi="ar-SA"/>
      </w:rPr>
    </w:lvl>
    <w:lvl w:ilvl="1" w:tplc="FFFFFFFF">
      <w:numFmt w:val="bullet"/>
      <w:lvlText w:val="•"/>
      <w:lvlJc w:val="left"/>
      <w:pPr>
        <w:ind w:left="1263" w:hanging="360"/>
      </w:pPr>
      <w:rPr>
        <w:rFonts w:hint="default"/>
        <w:lang w:val="en-US" w:eastAsia="en-US" w:bidi="ar-SA"/>
      </w:rPr>
    </w:lvl>
    <w:lvl w:ilvl="2" w:tplc="FFFFFFFF">
      <w:numFmt w:val="bullet"/>
      <w:lvlText w:val="•"/>
      <w:lvlJc w:val="left"/>
      <w:pPr>
        <w:ind w:left="2067" w:hanging="360"/>
      </w:pPr>
      <w:rPr>
        <w:rFonts w:hint="default"/>
        <w:lang w:val="en-US" w:eastAsia="en-US" w:bidi="ar-SA"/>
      </w:rPr>
    </w:lvl>
    <w:lvl w:ilvl="3" w:tplc="FFFFFFFF">
      <w:numFmt w:val="bullet"/>
      <w:lvlText w:val="•"/>
      <w:lvlJc w:val="left"/>
      <w:pPr>
        <w:ind w:left="2871" w:hanging="360"/>
      </w:pPr>
      <w:rPr>
        <w:rFonts w:hint="default"/>
        <w:lang w:val="en-US" w:eastAsia="en-US" w:bidi="ar-SA"/>
      </w:rPr>
    </w:lvl>
    <w:lvl w:ilvl="4" w:tplc="FFFFFFFF">
      <w:numFmt w:val="bullet"/>
      <w:lvlText w:val="•"/>
      <w:lvlJc w:val="left"/>
      <w:pPr>
        <w:ind w:left="3675" w:hanging="360"/>
      </w:pPr>
      <w:rPr>
        <w:rFonts w:hint="default"/>
        <w:lang w:val="en-US" w:eastAsia="en-US" w:bidi="ar-SA"/>
      </w:rPr>
    </w:lvl>
    <w:lvl w:ilvl="5" w:tplc="FFFFFFFF">
      <w:numFmt w:val="bullet"/>
      <w:lvlText w:val="•"/>
      <w:lvlJc w:val="left"/>
      <w:pPr>
        <w:ind w:left="4479" w:hanging="360"/>
      </w:pPr>
      <w:rPr>
        <w:rFonts w:hint="default"/>
        <w:lang w:val="en-US" w:eastAsia="en-US" w:bidi="ar-SA"/>
      </w:rPr>
    </w:lvl>
    <w:lvl w:ilvl="6" w:tplc="FFFFFFFF">
      <w:numFmt w:val="bullet"/>
      <w:lvlText w:val="•"/>
      <w:lvlJc w:val="left"/>
      <w:pPr>
        <w:ind w:left="5283" w:hanging="360"/>
      </w:pPr>
      <w:rPr>
        <w:rFonts w:hint="default"/>
        <w:lang w:val="en-US" w:eastAsia="en-US" w:bidi="ar-SA"/>
      </w:rPr>
    </w:lvl>
    <w:lvl w:ilvl="7" w:tplc="FFFFFFFF">
      <w:numFmt w:val="bullet"/>
      <w:lvlText w:val="•"/>
      <w:lvlJc w:val="left"/>
      <w:pPr>
        <w:ind w:left="6087" w:hanging="360"/>
      </w:pPr>
      <w:rPr>
        <w:rFonts w:hint="default"/>
        <w:lang w:val="en-US" w:eastAsia="en-US" w:bidi="ar-SA"/>
      </w:rPr>
    </w:lvl>
    <w:lvl w:ilvl="8" w:tplc="FFFFFFFF">
      <w:numFmt w:val="bullet"/>
      <w:lvlText w:val="•"/>
      <w:lvlJc w:val="left"/>
      <w:pPr>
        <w:ind w:left="6891" w:hanging="360"/>
      </w:pPr>
      <w:rPr>
        <w:rFonts w:hint="default"/>
        <w:lang w:val="en-US" w:eastAsia="en-US" w:bidi="ar-SA"/>
      </w:rPr>
    </w:lvl>
  </w:abstractNum>
  <w:abstractNum w:abstractNumId="1" w15:restartNumberingAfterBreak="0">
    <w:nsid w:val="368F48AC"/>
    <w:multiLevelType w:val="hybridMultilevel"/>
    <w:tmpl w:val="6C465B0C"/>
    <w:lvl w:ilvl="0" w:tplc="4D46E5A8">
      <w:start w:val="1"/>
      <w:numFmt w:val="upperLetter"/>
      <w:lvlText w:val="%1."/>
      <w:lvlJc w:val="left"/>
      <w:pPr>
        <w:ind w:left="460" w:hanging="360"/>
        <w:jc w:val="left"/>
      </w:pPr>
      <w:rPr>
        <w:rFonts w:hint="default"/>
        <w:spacing w:val="-1"/>
        <w:w w:val="99"/>
        <w:lang w:val="en-US" w:eastAsia="en-US" w:bidi="ar-SA"/>
      </w:rPr>
    </w:lvl>
    <w:lvl w:ilvl="1" w:tplc="22A43B06">
      <w:numFmt w:val="bullet"/>
      <w:lvlText w:val="•"/>
      <w:lvlJc w:val="left"/>
      <w:pPr>
        <w:ind w:left="1263" w:hanging="360"/>
      </w:pPr>
      <w:rPr>
        <w:rFonts w:hint="default"/>
        <w:lang w:val="en-US" w:eastAsia="en-US" w:bidi="ar-SA"/>
      </w:rPr>
    </w:lvl>
    <w:lvl w:ilvl="2" w:tplc="C18CA3BA">
      <w:numFmt w:val="bullet"/>
      <w:lvlText w:val="•"/>
      <w:lvlJc w:val="left"/>
      <w:pPr>
        <w:ind w:left="2067" w:hanging="360"/>
      </w:pPr>
      <w:rPr>
        <w:rFonts w:hint="default"/>
        <w:lang w:val="en-US" w:eastAsia="en-US" w:bidi="ar-SA"/>
      </w:rPr>
    </w:lvl>
    <w:lvl w:ilvl="3" w:tplc="C330C27E">
      <w:numFmt w:val="bullet"/>
      <w:lvlText w:val="•"/>
      <w:lvlJc w:val="left"/>
      <w:pPr>
        <w:ind w:left="2871" w:hanging="360"/>
      </w:pPr>
      <w:rPr>
        <w:rFonts w:hint="default"/>
        <w:lang w:val="en-US" w:eastAsia="en-US" w:bidi="ar-SA"/>
      </w:rPr>
    </w:lvl>
    <w:lvl w:ilvl="4" w:tplc="1208FFF8">
      <w:numFmt w:val="bullet"/>
      <w:lvlText w:val="•"/>
      <w:lvlJc w:val="left"/>
      <w:pPr>
        <w:ind w:left="3675" w:hanging="360"/>
      </w:pPr>
      <w:rPr>
        <w:rFonts w:hint="default"/>
        <w:lang w:val="en-US" w:eastAsia="en-US" w:bidi="ar-SA"/>
      </w:rPr>
    </w:lvl>
    <w:lvl w:ilvl="5" w:tplc="60B6C278">
      <w:numFmt w:val="bullet"/>
      <w:lvlText w:val="•"/>
      <w:lvlJc w:val="left"/>
      <w:pPr>
        <w:ind w:left="4479" w:hanging="360"/>
      </w:pPr>
      <w:rPr>
        <w:rFonts w:hint="default"/>
        <w:lang w:val="en-US" w:eastAsia="en-US" w:bidi="ar-SA"/>
      </w:rPr>
    </w:lvl>
    <w:lvl w:ilvl="6" w:tplc="FA3A0762">
      <w:numFmt w:val="bullet"/>
      <w:lvlText w:val="•"/>
      <w:lvlJc w:val="left"/>
      <w:pPr>
        <w:ind w:left="5283" w:hanging="360"/>
      </w:pPr>
      <w:rPr>
        <w:rFonts w:hint="default"/>
        <w:lang w:val="en-US" w:eastAsia="en-US" w:bidi="ar-SA"/>
      </w:rPr>
    </w:lvl>
    <w:lvl w:ilvl="7" w:tplc="AC0A854A">
      <w:numFmt w:val="bullet"/>
      <w:lvlText w:val="•"/>
      <w:lvlJc w:val="left"/>
      <w:pPr>
        <w:ind w:left="6087" w:hanging="360"/>
      </w:pPr>
      <w:rPr>
        <w:rFonts w:hint="default"/>
        <w:lang w:val="en-US" w:eastAsia="en-US" w:bidi="ar-SA"/>
      </w:rPr>
    </w:lvl>
    <w:lvl w:ilvl="8" w:tplc="EE70CDA0">
      <w:numFmt w:val="bullet"/>
      <w:lvlText w:val="•"/>
      <w:lvlJc w:val="left"/>
      <w:pPr>
        <w:ind w:left="6891"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C72801"/>
    <w:rsid w:val="00094870"/>
    <w:rsid w:val="0054303A"/>
    <w:rsid w:val="008B3657"/>
    <w:rsid w:val="00C45C0A"/>
    <w:rsid w:val="00C7280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F167"/>
  <w15:docId w15:val="{592179FE-07B9-4004-8740-6E4BC0FA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right="22"/>
      <w:jc w:val="center"/>
    </w:pPr>
    <w:rPr>
      <w:b/>
      <w:bCs/>
      <w:sz w:val="20"/>
      <w:szCs w:val="20"/>
    </w:rPr>
  </w:style>
  <w:style w:type="paragraph" w:styleId="ListParagraph">
    <w:name w:val="List Paragraph"/>
    <w:basedOn w:val="Normal"/>
    <w:uiPriority w:val="1"/>
    <w:qFormat/>
    <w:pPr>
      <w:ind w:left="460" w:right="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c:creator>
  <cp:lastModifiedBy>User</cp:lastModifiedBy>
  <cp:revision>3</cp:revision>
  <dcterms:created xsi:type="dcterms:W3CDTF">2026-02-19T08:25:00Z</dcterms:created>
  <dcterms:modified xsi:type="dcterms:W3CDTF">2026-02-18T17:21:00Z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2013</vt:lpwstr>
  </property>
  <property fmtid="{D5CDD505-2E9C-101B-9397-08002B2CF9AE}" pid="4" name="LastSaved">
    <vt:filetime>2026-02-19T00:00:00Z</vt:filetime>
  </property>
  <property fmtid="{D5CDD505-2E9C-101B-9397-08002B2CF9AE}" pid="5" name="Producer">
    <vt:lpwstr>Microsoft® Word 2013</vt:lpwstr>
  </property>
</Properties>
</file>