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4528" w14:textId="6C06C649" w:rsidR="004C5FF8" w:rsidRPr="00B52FFB" w:rsidRDefault="004C5FF8" w:rsidP="00732756">
      <w:pPr>
        <w:pStyle w:val="Heading1"/>
        <w:spacing w:before="0" w:after="0"/>
      </w:pPr>
      <w:bookmarkStart w:id="0" w:name="_Toc46916390"/>
      <w:r w:rsidRPr="00B52FFB">
        <w:t>Section VIII. Checklist of Technical and Financial Documents</w:t>
      </w:r>
      <w:bookmarkEnd w:id="0"/>
      <w:r w:rsidRPr="00B52FFB">
        <w:t xml:space="preserve"> </w:t>
      </w:r>
    </w:p>
    <w:p w14:paraId="5AF1DCFF" w14:textId="77777777" w:rsidR="005D2E34" w:rsidRPr="00B52FFB" w:rsidRDefault="005D2E34" w:rsidP="005D2E34"/>
    <w:tbl>
      <w:tblPr>
        <w:tblW w:w="5389" w:type="pc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1"/>
      </w:tblGrid>
      <w:tr w:rsidR="00B52FFB" w:rsidRPr="00B52FFB" w14:paraId="1A0521AF" w14:textId="77777777" w:rsidTr="00732756">
        <w:tc>
          <w:tcPr>
            <w:tcW w:w="5000" w:type="pct"/>
            <w:tcBorders>
              <w:top w:val="single" w:sz="6" w:space="0" w:color="000000"/>
              <w:left w:val="single" w:sz="6" w:space="0" w:color="000000"/>
              <w:bottom w:val="single" w:sz="6" w:space="0" w:color="000000"/>
              <w:right w:val="single" w:sz="6" w:space="0" w:color="000000"/>
            </w:tcBorders>
          </w:tcPr>
          <w:p w14:paraId="5B1A01DF" w14:textId="77777777" w:rsidR="004C5FF8" w:rsidRPr="00B52FFB" w:rsidRDefault="004C5FF8" w:rsidP="00D40633">
            <w:pPr>
              <w:rPr>
                <w:b/>
                <w:shd w:val="clear" w:color="auto" w:fill="D9EAD3"/>
              </w:rPr>
            </w:pPr>
            <w:bookmarkStart w:id="1" w:name="_heading=h.2dlolyb" w:colFirst="0" w:colLast="0"/>
            <w:bookmarkEnd w:id="1"/>
          </w:p>
          <w:p w14:paraId="0FC6A8E6" w14:textId="77777777" w:rsidR="004C5FF8" w:rsidRPr="00B52FFB" w:rsidRDefault="004C5FF8" w:rsidP="00D40633">
            <w:pPr>
              <w:rPr>
                <w:b/>
                <w:sz w:val="32"/>
                <w:szCs w:val="32"/>
              </w:rPr>
            </w:pPr>
            <w:r w:rsidRPr="00B52FFB">
              <w:rPr>
                <w:b/>
                <w:sz w:val="32"/>
                <w:szCs w:val="32"/>
              </w:rPr>
              <w:t>Notes on the Checklist of Technical and Financial Documents</w:t>
            </w:r>
          </w:p>
          <w:p w14:paraId="534A2DB6" w14:textId="77777777" w:rsidR="004C5FF8" w:rsidRPr="00B52FFB" w:rsidRDefault="004C5FF8" w:rsidP="00D40633"/>
          <w:p w14:paraId="5FC874C2" w14:textId="77777777" w:rsidR="004C5FF8" w:rsidRPr="00B52FFB" w:rsidRDefault="004C5FF8" w:rsidP="00D40633"/>
          <w:p w14:paraId="283427EB" w14:textId="77777777" w:rsidR="004C5FF8" w:rsidRPr="00B52FFB" w:rsidRDefault="004C5FF8" w:rsidP="00D40633">
            <w:r w:rsidRPr="00B52FFB">
              <w:t xml:space="preserve">The prescribed documents in the checklist are mandatory to be submitted in the Bid, but shall be subject to the following: </w:t>
            </w:r>
          </w:p>
          <w:p w14:paraId="73EC3C5B" w14:textId="77777777" w:rsidR="004C5FF8" w:rsidRPr="00B52FFB" w:rsidRDefault="004C5FF8" w:rsidP="00D40633"/>
          <w:p w14:paraId="48D47508" w14:textId="77777777" w:rsidR="004C5FF8" w:rsidRPr="00B52FFB" w:rsidRDefault="004C5FF8" w:rsidP="004C5FF8">
            <w:pPr>
              <w:numPr>
                <w:ilvl w:val="0"/>
                <w:numId w:val="2"/>
              </w:numPr>
              <w:pBdr>
                <w:top w:val="nil"/>
                <w:left w:val="nil"/>
                <w:bottom w:val="nil"/>
                <w:right w:val="nil"/>
                <w:between w:val="nil"/>
              </w:pBdr>
            </w:pPr>
            <w:r w:rsidRPr="00B52FFB">
              <w:t>GPPB Resolution No. 09-2020 on the efficient procurement measures during a State of Calamity or other similar issuances that shall allow the use of alternate documents in lieu of the mandated requirements; or</w:t>
            </w:r>
          </w:p>
          <w:p w14:paraId="199A850E" w14:textId="77777777" w:rsidR="004C5FF8" w:rsidRPr="00B52FFB" w:rsidRDefault="004C5FF8" w:rsidP="00D40633">
            <w:pPr>
              <w:pBdr>
                <w:top w:val="nil"/>
                <w:left w:val="nil"/>
                <w:bottom w:val="nil"/>
                <w:right w:val="nil"/>
                <w:between w:val="nil"/>
              </w:pBdr>
              <w:ind w:left="720"/>
            </w:pPr>
          </w:p>
          <w:p w14:paraId="57EF390F" w14:textId="77777777" w:rsidR="004C5FF8" w:rsidRPr="00B52FFB" w:rsidRDefault="004C5FF8" w:rsidP="004C5FF8">
            <w:pPr>
              <w:numPr>
                <w:ilvl w:val="0"/>
                <w:numId w:val="2"/>
              </w:numPr>
              <w:pBdr>
                <w:top w:val="nil"/>
                <w:left w:val="nil"/>
                <w:bottom w:val="nil"/>
                <w:right w:val="nil"/>
                <w:between w:val="nil"/>
              </w:pBdr>
            </w:pPr>
            <w:r w:rsidRPr="00B52FFB">
              <w:t xml:space="preserve">Any subsequent GPPB issuances adjusting the documentary requirements after the effectivity of the adoption of the PBDs.  </w:t>
            </w:r>
          </w:p>
          <w:p w14:paraId="0F6CDF86" w14:textId="77777777" w:rsidR="004C5FF8" w:rsidRPr="00B52FFB" w:rsidRDefault="004C5FF8" w:rsidP="00D40633">
            <w:pPr>
              <w:pBdr>
                <w:top w:val="nil"/>
                <w:left w:val="nil"/>
                <w:bottom w:val="nil"/>
                <w:right w:val="nil"/>
                <w:between w:val="nil"/>
              </w:pBdr>
              <w:ind w:left="720"/>
            </w:pPr>
          </w:p>
          <w:p w14:paraId="5EC7E0CF" w14:textId="77777777" w:rsidR="004C5FF8" w:rsidRPr="00B52FFB" w:rsidRDefault="004C5FF8" w:rsidP="00D40633">
            <w:r w:rsidRPr="00B52FFB">
              <w:t>The BAC shall be checking the submitted documents of each Bidder against this checklist to ascertain if they are all present, using a non-discretionary “pass/fail” criterion pursuant to Section 30 of the 2016 revised IRR of RA No. 9184.</w:t>
            </w:r>
          </w:p>
          <w:p w14:paraId="350849D4" w14:textId="77777777" w:rsidR="004C5FF8" w:rsidRPr="00B52FFB" w:rsidRDefault="004C5FF8" w:rsidP="00D40633">
            <w:pPr>
              <w:rPr>
                <w:shd w:val="clear" w:color="auto" w:fill="D9EAD3"/>
              </w:rPr>
            </w:pPr>
          </w:p>
        </w:tc>
      </w:tr>
    </w:tbl>
    <w:p w14:paraId="4CEC9C82" w14:textId="77777777" w:rsidR="00C23ECD" w:rsidRPr="00B52FFB" w:rsidRDefault="00C23ECD" w:rsidP="004C5FF8">
      <w:pPr>
        <w:jc w:val="center"/>
      </w:pPr>
    </w:p>
    <w:p w14:paraId="3A0E69FB" w14:textId="77777777" w:rsidR="00C23ECD" w:rsidRPr="00B52FFB" w:rsidRDefault="00C23ECD">
      <w:pPr>
        <w:spacing w:after="160" w:line="259" w:lineRule="auto"/>
        <w:jc w:val="left"/>
      </w:pPr>
      <w:r w:rsidRPr="00B52FFB">
        <w:br w:type="page"/>
      </w:r>
    </w:p>
    <w:p w14:paraId="7B4FAFF0" w14:textId="2C3CF84D" w:rsidR="004C5FF8" w:rsidRPr="00B52FFB" w:rsidRDefault="004C5FF8" w:rsidP="004C5FF8">
      <w:pPr>
        <w:jc w:val="center"/>
        <w:rPr>
          <w:b/>
          <w:sz w:val="40"/>
          <w:szCs w:val="40"/>
        </w:rPr>
      </w:pPr>
      <w:r w:rsidRPr="00B52FFB">
        <w:rPr>
          <w:b/>
          <w:sz w:val="40"/>
          <w:szCs w:val="40"/>
        </w:rPr>
        <w:lastRenderedPageBreak/>
        <w:t>Checklist of Technical and Financial Documents</w:t>
      </w:r>
    </w:p>
    <w:p w14:paraId="3B1D7449" w14:textId="77777777" w:rsidR="004C5FF8" w:rsidRPr="00B52FFB" w:rsidRDefault="004C5FF8" w:rsidP="004C5FF8">
      <w:pPr>
        <w:jc w:val="center"/>
        <w:rPr>
          <w:b/>
          <w:i/>
          <w:sz w:val="28"/>
          <w:szCs w:val="28"/>
        </w:rPr>
      </w:pPr>
    </w:p>
    <w:tbl>
      <w:tblPr>
        <w:tblW w:w="9066" w:type="dxa"/>
        <w:tblBorders>
          <w:top w:val="nil"/>
          <w:left w:val="nil"/>
          <w:bottom w:val="nil"/>
          <w:right w:val="nil"/>
          <w:insideH w:val="nil"/>
          <w:insideV w:val="nil"/>
        </w:tblBorders>
        <w:tblLayout w:type="fixed"/>
        <w:tblLook w:val="0400" w:firstRow="0" w:lastRow="0" w:firstColumn="0" w:lastColumn="0" w:noHBand="0" w:noVBand="1"/>
      </w:tblPr>
      <w:tblGrid>
        <w:gridCol w:w="863"/>
        <w:gridCol w:w="37"/>
        <w:gridCol w:w="8129"/>
        <w:gridCol w:w="37"/>
      </w:tblGrid>
      <w:tr w:rsidR="00B52FFB" w:rsidRPr="00B52FFB" w14:paraId="055AA3E4" w14:textId="77777777" w:rsidTr="00F45F42">
        <w:trPr>
          <w:gridAfter w:val="1"/>
          <w:wAfter w:w="37" w:type="dxa"/>
          <w:trHeight w:val="224"/>
        </w:trPr>
        <w:tc>
          <w:tcPr>
            <w:tcW w:w="9029" w:type="dxa"/>
            <w:gridSpan w:val="3"/>
            <w:vAlign w:val="center"/>
          </w:tcPr>
          <w:p w14:paraId="7402F626" w14:textId="77777777" w:rsidR="004C5FF8" w:rsidRPr="00B52FFB" w:rsidRDefault="004C5FF8" w:rsidP="004C5FF8">
            <w:pPr>
              <w:widowControl w:val="0"/>
              <w:numPr>
                <w:ilvl w:val="0"/>
                <w:numId w:val="4"/>
              </w:numPr>
              <w:pBdr>
                <w:top w:val="nil"/>
                <w:left w:val="nil"/>
                <w:bottom w:val="nil"/>
                <w:right w:val="nil"/>
                <w:between w:val="nil"/>
              </w:pBdr>
              <w:ind w:right="632"/>
              <w:jc w:val="left"/>
              <w:rPr>
                <w:b/>
              </w:rPr>
            </w:pPr>
            <w:r w:rsidRPr="00B52FFB">
              <w:rPr>
                <w:b/>
              </w:rPr>
              <w:t>TECHNICAL COMPONENT ENVELOPE</w:t>
            </w:r>
          </w:p>
          <w:p w14:paraId="30AA03A5" w14:textId="77777777" w:rsidR="004C5FF8" w:rsidRPr="00B52FFB" w:rsidRDefault="004C5FF8" w:rsidP="00D40633">
            <w:pPr>
              <w:widowControl w:val="0"/>
              <w:pBdr>
                <w:top w:val="nil"/>
                <w:left w:val="nil"/>
                <w:bottom w:val="nil"/>
                <w:right w:val="nil"/>
                <w:between w:val="nil"/>
              </w:pBdr>
              <w:ind w:left="360" w:right="632"/>
              <w:jc w:val="left"/>
              <w:rPr>
                <w:b/>
              </w:rPr>
            </w:pPr>
          </w:p>
        </w:tc>
      </w:tr>
      <w:tr w:rsidR="00B52FFB" w:rsidRPr="00B52FFB" w14:paraId="2C043DF7" w14:textId="77777777" w:rsidTr="00F45F42">
        <w:trPr>
          <w:gridAfter w:val="1"/>
          <w:wAfter w:w="37" w:type="dxa"/>
        </w:trPr>
        <w:tc>
          <w:tcPr>
            <w:tcW w:w="9029" w:type="dxa"/>
            <w:gridSpan w:val="3"/>
          </w:tcPr>
          <w:p w14:paraId="014E183B" w14:textId="77777777" w:rsidR="004C5FF8" w:rsidRPr="00B52FFB" w:rsidRDefault="004C5FF8" w:rsidP="00D40633">
            <w:pPr>
              <w:pBdr>
                <w:top w:val="nil"/>
                <w:left w:val="nil"/>
                <w:bottom w:val="nil"/>
                <w:right w:val="nil"/>
                <w:between w:val="nil"/>
              </w:pBdr>
              <w:ind w:right="632" w:firstLine="426"/>
              <w:jc w:val="center"/>
              <w:rPr>
                <w:b/>
                <w:i/>
              </w:rPr>
            </w:pPr>
            <w:r w:rsidRPr="00B52FFB">
              <w:rPr>
                <w:b/>
                <w:i/>
              </w:rPr>
              <w:t>Class “A” Documents</w:t>
            </w:r>
          </w:p>
        </w:tc>
      </w:tr>
      <w:tr w:rsidR="00B52FFB" w:rsidRPr="00B52FFB" w14:paraId="1542D989" w14:textId="77777777" w:rsidTr="00F45F42">
        <w:trPr>
          <w:gridAfter w:val="1"/>
          <w:wAfter w:w="37" w:type="dxa"/>
        </w:trPr>
        <w:tc>
          <w:tcPr>
            <w:tcW w:w="9029" w:type="dxa"/>
            <w:gridSpan w:val="3"/>
          </w:tcPr>
          <w:p w14:paraId="39C9FEDB" w14:textId="77777777" w:rsidR="004C5FF8" w:rsidRPr="00B52FFB" w:rsidRDefault="004C5FF8" w:rsidP="00D40633">
            <w:pPr>
              <w:pBdr>
                <w:top w:val="nil"/>
                <w:left w:val="nil"/>
                <w:bottom w:val="nil"/>
                <w:right w:val="nil"/>
                <w:between w:val="nil"/>
              </w:pBdr>
              <w:ind w:right="632" w:firstLine="426"/>
              <w:rPr>
                <w:i/>
                <w:u w:val="single"/>
              </w:rPr>
            </w:pPr>
            <w:r w:rsidRPr="00B52FFB">
              <w:rPr>
                <w:i/>
                <w:u w:val="single"/>
              </w:rPr>
              <w:t>Legal Documents</w:t>
            </w:r>
          </w:p>
        </w:tc>
      </w:tr>
      <w:tr w:rsidR="00B52FFB" w:rsidRPr="00B52FFB" w14:paraId="5D65A20C" w14:textId="77777777" w:rsidTr="00F45F42">
        <w:trPr>
          <w:gridAfter w:val="1"/>
          <w:wAfter w:w="37" w:type="dxa"/>
        </w:trPr>
        <w:tc>
          <w:tcPr>
            <w:tcW w:w="863" w:type="dxa"/>
          </w:tcPr>
          <w:p w14:paraId="40A020F4"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5A1D15B8" w14:textId="77777777" w:rsidR="004C5FF8" w:rsidRPr="00B52FFB" w:rsidRDefault="004C5FF8" w:rsidP="004C5FF8">
            <w:pPr>
              <w:numPr>
                <w:ilvl w:val="3"/>
                <w:numId w:val="1"/>
              </w:numPr>
              <w:pBdr>
                <w:top w:val="nil"/>
                <w:left w:val="nil"/>
                <w:bottom w:val="nil"/>
                <w:right w:val="nil"/>
                <w:between w:val="nil"/>
              </w:pBdr>
              <w:ind w:left="556" w:hanging="540"/>
            </w:pPr>
            <w:r w:rsidRPr="00B52FFB">
              <w:t xml:space="preserve">Valid </w:t>
            </w:r>
            <w:proofErr w:type="spellStart"/>
            <w:r w:rsidRPr="00B52FFB">
              <w:t>PhilGEPS</w:t>
            </w:r>
            <w:proofErr w:type="spellEnd"/>
            <w:r w:rsidRPr="00B52FFB">
              <w:t xml:space="preserve"> Registration Certificate (Platinum Membership) (all pages);</w:t>
            </w:r>
          </w:p>
          <w:p w14:paraId="28D70EF5" w14:textId="77777777" w:rsidR="004C5FF8" w:rsidRPr="00B52FFB" w:rsidRDefault="004C5FF8" w:rsidP="00D40633">
            <w:pPr>
              <w:pBdr>
                <w:top w:val="nil"/>
                <w:left w:val="nil"/>
                <w:bottom w:val="nil"/>
                <w:right w:val="nil"/>
                <w:between w:val="nil"/>
              </w:pBdr>
              <w:ind w:left="556" w:hanging="6"/>
            </w:pPr>
            <w:r w:rsidRPr="00B52FFB">
              <w:rPr>
                <w:b/>
                <w:u w:val="single"/>
              </w:rPr>
              <w:t>or</w:t>
            </w:r>
          </w:p>
        </w:tc>
      </w:tr>
      <w:tr w:rsidR="00B52FFB" w:rsidRPr="00B52FFB" w14:paraId="253C956E" w14:textId="77777777" w:rsidTr="00F45F42">
        <w:trPr>
          <w:gridAfter w:val="1"/>
          <w:wAfter w:w="37" w:type="dxa"/>
        </w:trPr>
        <w:tc>
          <w:tcPr>
            <w:tcW w:w="863" w:type="dxa"/>
          </w:tcPr>
          <w:p w14:paraId="1F06866B"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585F8B77" w14:textId="77777777" w:rsidR="004C5FF8" w:rsidRPr="00B52FFB" w:rsidRDefault="004C5FF8" w:rsidP="004C5FF8">
            <w:pPr>
              <w:numPr>
                <w:ilvl w:val="3"/>
                <w:numId w:val="1"/>
              </w:numPr>
              <w:pBdr>
                <w:top w:val="nil"/>
                <w:left w:val="nil"/>
                <w:bottom w:val="nil"/>
                <w:right w:val="nil"/>
                <w:between w:val="nil"/>
              </w:pBdr>
              <w:ind w:left="556" w:hanging="540"/>
              <w:rPr>
                <w:u w:val="single"/>
              </w:rPr>
            </w:pPr>
            <w:bookmarkStart w:id="2" w:name="_heading=h.3cqmetx" w:colFirst="0" w:colLast="0"/>
            <w:bookmarkEnd w:id="2"/>
            <w:r w:rsidRPr="00B52FFB">
              <w:t xml:space="preserve">Registration certificate from Securities and Exchange Commission (SEC), Department of Trade and Industry (DTI)  for sole proprietorship, or Cooperative Development Authority (CDA) for cooperatives or its equivalent document, </w:t>
            </w:r>
          </w:p>
          <w:p w14:paraId="647630D7" w14:textId="77777777" w:rsidR="004C5FF8" w:rsidRPr="00B52FFB" w:rsidRDefault="004C5FF8" w:rsidP="00D40633">
            <w:pPr>
              <w:pBdr>
                <w:top w:val="nil"/>
                <w:left w:val="nil"/>
                <w:bottom w:val="nil"/>
                <w:right w:val="nil"/>
                <w:between w:val="nil"/>
              </w:pBdr>
              <w:ind w:left="556"/>
              <w:rPr>
                <w:u w:val="single"/>
              </w:rPr>
            </w:pPr>
            <w:r w:rsidRPr="00B52FFB">
              <w:rPr>
                <w:b/>
                <w:u w:val="single"/>
              </w:rPr>
              <w:t>and</w:t>
            </w:r>
          </w:p>
        </w:tc>
      </w:tr>
      <w:tr w:rsidR="00B52FFB" w:rsidRPr="00B52FFB" w14:paraId="019D7F36" w14:textId="77777777" w:rsidTr="00F45F42">
        <w:trPr>
          <w:gridAfter w:val="1"/>
          <w:wAfter w:w="37" w:type="dxa"/>
        </w:trPr>
        <w:tc>
          <w:tcPr>
            <w:tcW w:w="863" w:type="dxa"/>
          </w:tcPr>
          <w:p w14:paraId="203D50F7"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6B57C974" w14:textId="77777777" w:rsidR="004C5FF8" w:rsidRPr="00B52FFB" w:rsidRDefault="004C5FF8" w:rsidP="004C5FF8">
            <w:pPr>
              <w:numPr>
                <w:ilvl w:val="3"/>
                <w:numId w:val="1"/>
              </w:numPr>
              <w:pBdr>
                <w:top w:val="nil"/>
                <w:left w:val="nil"/>
                <w:bottom w:val="nil"/>
                <w:right w:val="nil"/>
                <w:between w:val="nil"/>
              </w:pBdr>
              <w:ind w:left="556" w:hanging="540"/>
            </w:pPr>
            <w:bookmarkStart w:id="3" w:name="_heading=h.1rvwp1q" w:colFirst="0" w:colLast="0"/>
            <w:bookmarkEnd w:id="3"/>
            <w:r w:rsidRPr="00B52FFB">
              <w:t>Mayor’s or Business permit issued by the city or municipality where the principal place of business of the prospective bidder is located, or the equivalent document for Exclusive Economic Zones or Areas;</w:t>
            </w:r>
          </w:p>
          <w:p w14:paraId="21D84A0C" w14:textId="77777777" w:rsidR="004C5FF8" w:rsidRPr="00B52FFB" w:rsidRDefault="004C5FF8" w:rsidP="00D40633">
            <w:pPr>
              <w:pBdr>
                <w:top w:val="nil"/>
                <w:left w:val="nil"/>
                <w:bottom w:val="nil"/>
                <w:right w:val="nil"/>
                <w:between w:val="nil"/>
              </w:pBdr>
              <w:ind w:left="556"/>
              <w:rPr>
                <w:b/>
                <w:u w:val="single"/>
              </w:rPr>
            </w:pPr>
            <w:r w:rsidRPr="00B52FFB">
              <w:rPr>
                <w:b/>
                <w:u w:val="single"/>
              </w:rPr>
              <w:t>and</w:t>
            </w:r>
          </w:p>
        </w:tc>
      </w:tr>
      <w:tr w:rsidR="00B52FFB" w:rsidRPr="00B52FFB" w14:paraId="21F14D2B" w14:textId="77777777" w:rsidTr="00F45F42">
        <w:trPr>
          <w:gridAfter w:val="1"/>
          <w:wAfter w:w="37" w:type="dxa"/>
        </w:trPr>
        <w:tc>
          <w:tcPr>
            <w:tcW w:w="863" w:type="dxa"/>
          </w:tcPr>
          <w:p w14:paraId="1225EDB9"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541D810A" w14:textId="77777777" w:rsidR="004C5FF8" w:rsidRPr="00B52FFB" w:rsidRDefault="004C5FF8" w:rsidP="004C5FF8">
            <w:pPr>
              <w:numPr>
                <w:ilvl w:val="3"/>
                <w:numId w:val="1"/>
              </w:numPr>
              <w:pBdr>
                <w:top w:val="nil"/>
                <w:left w:val="nil"/>
                <w:bottom w:val="nil"/>
                <w:right w:val="nil"/>
                <w:between w:val="nil"/>
              </w:pBdr>
              <w:ind w:left="556" w:hanging="540"/>
            </w:pPr>
            <w:r w:rsidRPr="00B52FFB">
              <w:t>Tax clearance per E.O.  No. 398, s. 2005, as finally reviewed and approved by the Bureau of Internal Revenue (BIR).</w:t>
            </w:r>
          </w:p>
          <w:p w14:paraId="0AEC2FC5" w14:textId="77777777" w:rsidR="004C5FF8" w:rsidRPr="00B52FFB" w:rsidRDefault="004C5FF8" w:rsidP="00D40633">
            <w:pPr>
              <w:pBdr>
                <w:top w:val="nil"/>
                <w:left w:val="nil"/>
                <w:bottom w:val="nil"/>
                <w:right w:val="nil"/>
                <w:between w:val="nil"/>
              </w:pBdr>
              <w:ind w:left="556"/>
            </w:pPr>
          </w:p>
        </w:tc>
      </w:tr>
      <w:tr w:rsidR="00B52FFB" w:rsidRPr="00B52FFB" w14:paraId="0AC294E0" w14:textId="77777777" w:rsidTr="00F45F42">
        <w:trPr>
          <w:gridAfter w:val="1"/>
          <w:wAfter w:w="37" w:type="dxa"/>
        </w:trPr>
        <w:tc>
          <w:tcPr>
            <w:tcW w:w="9029" w:type="dxa"/>
            <w:gridSpan w:val="3"/>
          </w:tcPr>
          <w:p w14:paraId="412A31BA" w14:textId="77777777" w:rsidR="004C5FF8" w:rsidRPr="00B52FFB" w:rsidRDefault="004C5FF8" w:rsidP="00D40633">
            <w:pPr>
              <w:ind w:left="447"/>
              <w:rPr>
                <w:u w:val="single"/>
              </w:rPr>
            </w:pPr>
            <w:r w:rsidRPr="00B52FFB">
              <w:rPr>
                <w:i/>
                <w:u w:val="single"/>
              </w:rPr>
              <w:t>Technical Documents</w:t>
            </w:r>
          </w:p>
        </w:tc>
      </w:tr>
      <w:tr w:rsidR="00B52FFB" w:rsidRPr="00B52FFB" w14:paraId="360F5AC9" w14:textId="77777777" w:rsidTr="00F45F42">
        <w:trPr>
          <w:gridAfter w:val="1"/>
          <w:wAfter w:w="37" w:type="dxa"/>
        </w:trPr>
        <w:tc>
          <w:tcPr>
            <w:tcW w:w="863" w:type="dxa"/>
          </w:tcPr>
          <w:p w14:paraId="65D602DB"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5E386F36" w14:textId="77777777" w:rsidR="004C5FF8" w:rsidRPr="00B52FFB" w:rsidRDefault="004C5FF8" w:rsidP="005C1165">
            <w:pPr>
              <w:numPr>
                <w:ilvl w:val="3"/>
                <w:numId w:val="1"/>
              </w:numPr>
              <w:ind w:left="556" w:hanging="540"/>
            </w:pPr>
            <w:r w:rsidRPr="00B52FFB">
              <w:t xml:space="preserve">Statement of the prospective bidder of all its ongoing government and private contracts, including contracts awarded but not yet started, if any, whether similar or not similar in nature and complexity to the contract to be bid; </w:t>
            </w:r>
            <w:r w:rsidRPr="00B52FFB">
              <w:rPr>
                <w:b/>
                <w:u w:val="single"/>
              </w:rPr>
              <w:t>and</w:t>
            </w:r>
            <w:r w:rsidRPr="00B52FFB">
              <w:rPr>
                <w:u w:val="single"/>
              </w:rPr>
              <w:t xml:space="preserve"> </w:t>
            </w:r>
          </w:p>
        </w:tc>
      </w:tr>
      <w:tr w:rsidR="00B52FFB" w:rsidRPr="00B52FFB" w14:paraId="11395650" w14:textId="77777777" w:rsidTr="00F45F42">
        <w:trPr>
          <w:gridAfter w:val="1"/>
          <w:wAfter w:w="37" w:type="dxa"/>
        </w:trPr>
        <w:tc>
          <w:tcPr>
            <w:tcW w:w="863" w:type="dxa"/>
          </w:tcPr>
          <w:p w14:paraId="061AA7A4"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479DF128" w14:textId="77777777" w:rsidR="004C5FF8" w:rsidRPr="00B52FFB" w:rsidRDefault="004C5FF8" w:rsidP="00F45F42">
            <w:pPr>
              <w:numPr>
                <w:ilvl w:val="3"/>
                <w:numId w:val="1"/>
              </w:numPr>
              <w:ind w:left="556" w:hanging="540"/>
            </w:pPr>
            <w:r w:rsidRPr="00B52FFB">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B52FFB">
              <w:rPr>
                <w:b/>
                <w:u w:val="single"/>
              </w:rPr>
              <w:t>and</w:t>
            </w:r>
          </w:p>
        </w:tc>
      </w:tr>
      <w:tr w:rsidR="00B52FFB" w:rsidRPr="00B52FFB" w14:paraId="233809E9" w14:textId="77777777" w:rsidTr="00F45F42">
        <w:trPr>
          <w:gridAfter w:val="1"/>
          <w:wAfter w:w="37" w:type="dxa"/>
        </w:trPr>
        <w:tc>
          <w:tcPr>
            <w:tcW w:w="863" w:type="dxa"/>
          </w:tcPr>
          <w:p w14:paraId="5FB0F92D"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23542371" w14:textId="77777777" w:rsidR="004C5FF8" w:rsidRPr="00B52FFB" w:rsidRDefault="004C5FF8" w:rsidP="00F45F42">
            <w:pPr>
              <w:numPr>
                <w:ilvl w:val="3"/>
                <w:numId w:val="1"/>
              </w:numPr>
              <w:pBdr>
                <w:top w:val="nil"/>
                <w:left w:val="nil"/>
                <w:bottom w:val="nil"/>
                <w:right w:val="nil"/>
                <w:between w:val="nil"/>
              </w:pBdr>
              <w:ind w:left="556" w:hanging="540"/>
            </w:pPr>
            <w:r w:rsidRPr="00B52FFB">
              <w:t>Original copy of Bid Security. If in the form of a Surety Bond, submit also a certification issued by the Insurance Commission;</w:t>
            </w:r>
          </w:p>
          <w:p w14:paraId="6DE075B2" w14:textId="77777777" w:rsidR="004C5FF8" w:rsidRPr="00B52FFB" w:rsidRDefault="004C5FF8" w:rsidP="00D40633">
            <w:pPr>
              <w:pBdr>
                <w:top w:val="nil"/>
                <w:left w:val="nil"/>
                <w:bottom w:val="nil"/>
                <w:right w:val="nil"/>
                <w:between w:val="nil"/>
              </w:pBdr>
              <w:ind w:left="587"/>
              <w:rPr>
                <w:b/>
                <w:u w:val="single"/>
              </w:rPr>
            </w:pPr>
            <w:r w:rsidRPr="00B52FFB">
              <w:rPr>
                <w:b/>
                <w:u w:val="single"/>
              </w:rPr>
              <w:t>or</w:t>
            </w:r>
          </w:p>
          <w:p w14:paraId="57103116" w14:textId="77777777" w:rsidR="004C5FF8" w:rsidRPr="00B52FFB" w:rsidRDefault="004C5FF8" w:rsidP="00D40633">
            <w:pPr>
              <w:pBdr>
                <w:top w:val="nil"/>
                <w:left w:val="nil"/>
                <w:bottom w:val="nil"/>
                <w:right w:val="nil"/>
                <w:between w:val="nil"/>
              </w:pBdr>
              <w:ind w:left="587" w:right="125"/>
            </w:pPr>
            <w:r w:rsidRPr="00B52FFB">
              <w:t xml:space="preserve">Original copy of Notarized Bid Securing Declaration; </w:t>
            </w:r>
            <w:r w:rsidRPr="00B52FFB">
              <w:rPr>
                <w:b/>
                <w:u w:val="single"/>
              </w:rPr>
              <w:t>and</w:t>
            </w:r>
          </w:p>
        </w:tc>
      </w:tr>
      <w:tr w:rsidR="00B52FFB" w:rsidRPr="00B52FFB" w14:paraId="57D2E031" w14:textId="77777777" w:rsidTr="00F45F42">
        <w:trPr>
          <w:gridAfter w:val="1"/>
          <w:wAfter w:w="37" w:type="dxa"/>
        </w:trPr>
        <w:tc>
          <w:tcPr>
            <w:tcW w:w="863" w:type="dxa"/>
          </w:tcPr>
          <w:p w14:paraId="37E0FF38" w14:textId="77777777" w:rsidR="004C5FF8" w:rsidRPr="00B52FFB" w:rsidRDefault="004C5FF8" w:rsidP="00D40633">
            <w:pPr>
              <w:ind w:left="432"/>
              <w:rPr>
                <w:rFonts w:ascii="Nova Mono" w:eastAsia="Nova Mono" w:hAnsi="Nova Mono" w:cs="Nova Mono"/>
              </w:rPr>
            </w:pPr>
            <w:r w:rsidRPr="00B52FFB">
              <w:rPr>
                <w:rFonts w:ascii="Nova Mono" w:eastAsia="Nova Mono" w:hAnsi="Nova Mono" w:cs="Nova Mono"/>
              </w:rPr>
              <w:t>⬜</w:t>
            </w:r>
          </w:p>
          <w:p w14:paraId="4DABDD70" w14:textId="77777777" w:rsidR="00F532F0" w:rsidRPr="00B52FFB" w:rsidRDefault="00F532F0" w:rsidP="00D40633">
            <w:pPr>
              <w:ind w:left="432"/>
              <w:rPr>
                <w:rFonts w:ascii="Nova Mono" w:eastAsia="Nova Mono" w:hAnsi="Nova Mono" w:cs="Nova Mono"/>
              </w:rPr>
            </w:pPr>
          </w:p>
          <w:p w14:paraId="555AE036" w14:textId="77777777" w:rsidR="00F532F0" w:rsidRPr="00B52FFB" w:rsidRDefault="00F532F0" w:rsidP="00D40633">
            <w:pPr>
              <w:ind w:left="432"/>
              <w:rPr>
                <w:rFonts w:ascii="Nova Mono" w:eastAsia="Nova Mono" w:hAnsi="Nova Mono" w:cs="Nova Mono"/>
              </w:rPr>
            </w:pPr>
          </w:p>
          <w:p w14:paraId="1A585F3F" w14:textId="77777777" w:rsidR="00F532F0" w:rsidRPr="00B52FFB" w:rsidRDefault="00F532F0" w:rsidP="00D40633">
            <w:pPr>
              <w:ind w:left="432"/>
            </w:pPr>
            <w:r w:rsidRPr="00B52FFB">
              <w:rPr>
                <w:rFonts w:ascii="Nova Mono" w:eastAsia="Nova Mono" w:hAnsi="Nova Mono" w:cs="Nova Mono"/>
              </w:rPr>
              <w:t>⬜</w:t>
            </w:r>
          </w:p>
        </w:tc>
        <w:tc>
          <w:tcPr>
            <w:tcW w:w="8166" w:type="dxa"/>
            <w:gridSpan w:val="2"/>
          </w:tcPr>
          <w:p w14:paraId="4B4AAF61" w14:textId="77777777" w:rsidR="004C5FF8" w:rsidRPr="00B52FFB" w:rsidRDefault="004C5FF8" w:rsidP="00F45F42">
            <w:pPr>
              <w:numPr>
                <w:ilvl w:val="3"/>
                <w:numId w:val="1"/>
              </w:numPr>
              <w:pBdr>
                <w:top w:val="nil"/>
                <w:left w:val="nil"/>
                <w:bottom w:val="nil"/>
                <w:right w:val="nil"/>
                <w:between w:val="nil"/>
              </w:pBdr>
              <w:ind w:left="556" w:hanging="540"/>
            </w:pPr>
            <w:r w:rsidRPr="00B52FFB">
              <w:t xml:space="preserve">Conformity with the Technical Specifications, which may include production/delivery schedule, manpower requirements, and/or after-sales/parts, if applicable; </w:t>
            </w:r>
            <w:r w:rsidRPr="00B52FFB">
              <w:rPr>
                <w:b/>
                <w:u w:val="single"/>
              </w:rPr>
              <w:t>and</w:t>
            </w:r>
          </w:p>
          <w:p w14:paraId="0B36FE9F" w14:textId="77777777" w:rsidR="00F532F0" w:rsidRPr="00B52FFB" w:rsidRDefault="00F532F0" w:rsidP="00F45F42">
            <w:pPr>
              <w:numPr>
                <w:ilvl w:val="3"/>
                <w:numId w:val="1"/>
              </w:numPr>
              <w:pBdr>
                <w:top w:val="nil"/>
                <w:left w:val="nil"/>
                <w:bottom w:val="nil"/>
                <w:right w:val="nil"/>
                <w:between w:val="nil"/>
              </w:pBdr>
              <w:ind w:left="556" w:hanging="540"/>
            </w:pPr>
            <w:r w:rsidRPr="00B52FFB">
              <w:t>Conformity with the</w:t>
            </w:r>
            <w:r w:rsidR="005C1165" w:rsidRPr="00B52FFB">
              <w:t xml:space="preserve"> Schedule of Requirements; </w:t>
            </w:r>
            <w:r w:rsidR="005C1165" w:rsidRPr="00B52FFB">
              <w:rPr>
                <w:b/>
                <w:u w:val="single"/>
              </w:rPr>
              <w:t>and</w:t>
            </w:r>
          </w:p>
        </w:tc>
      </w:tr>
      <w:tr w:rsidR="00B52FFB" w:rsidRPr="00B52FFB" w14:paraId="2D8EBBF5" w14:textId="77777777" w:rsidTr="00F45F42">
        <w:trPr>
          <w:gridAfter w:val="1"/>
          <w:wAfter w:w="37" w:type="dxa"/>
        </w:trPr>
        <w:tc>
          <w:tcPr>
            <w:tcW w:w="863" w:type="dxa"/>
          </w:tcPr>
          <w:p w14:paraId="4FEFAE1D"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38F7611B" w14:textId="77777777" w:rsidR="004C5FF8" w:rsidRPr="00B52FFB" w:rsidRDefault="004C5FF8" w:rsidP="00F45F42">
            <w:pPr>
              <w:numPr>
                <w:ilvl w:val="3"/>
                <w:numId w:val="1"/>
              </w:numPr>
              <w:pBdr>
                <w:top w:val="nil"/>
                <w:left w:val="nil"/>
                <w:bottom w:val="nil"/>
                <w:right w:val="nil"/>
                <w:between w:val="nil"/>
              </w:pBdr>
              <w:ind w:left="556" w:hanging="540"/>
            </w:pPr>
            <w:r w:rsidRPr="00B52FFB">
              <w:t>Original duly signed Omnibus Sworn Statement (OSS);</w:t>
            </w:r>
          </w:p>
          <w:p w14:paraId="62B0D148" w14:textId="4EC57A3F" w:rsidR="005B7E2D" w:rsidRPr="00B52FFB" w:rsidRDefault="004C5FF8" w:rsidP="0091547C">
            <w:pPr>
              <w:pBdr>
                <w:top w:val="nil"/>
                <w:left w:val="nil"/>
                <w:bottom w:val="nil"/>
                <w:right w:val="nil"/>
                <w:between w:val="nil"/>
              </w:pBdr>
              <w:ind w:left="587"/>
              <w:rPr>
                <w:b/>
                <w:u w:val="single"/>
              </w:rPr>
            </w:pPr>
            <w:r w:rsidRPr="00B52FFB">
              <w:rPr>
                <w:b/>
              </w:rPr>
              <w:t>and</w:t>
            </w:r>
            <w:r w:rsidRPr="00B52FFB">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665D8A47" w14:textId="77777777" w:rsidR="000D5AF8" w:rsidRPr="00B52FFB" w:rsidRDefault="000D5AF8" w:rsidP="00D40633">
            <w:pPr>
              <w:pBdr>
                <w:top w:val="nil"/>
                <w:left w:val="nil"/>
                <w:bottom w:val="nil"/>
                <w:right w:val="nil"/>
                <w:between w:val="nil"/>
              </w:pBdr>
              <w:ind w:left="587"/>
            </w:pPr>
          </w:p>
        </w:tc>
      </w:tr>
      <w:tr w:rsidR="00B52FFB" w:rsidRPr="00B52FFB" w14:paraId="7E80D7BC" w14:textId="77777777" w:rsidTr="00F45F42">
        <w:trPr>
          <w:gridAfter w:val="1"/>
          <w:wAfter w:w="37" w:type="dxa"/>
        </w:trPr>
        <w:tc>
          <w:tcPr>
            <w:tcW w:w="9029" w:type="dxa"/>
            <w:gridSpan w:val="3"/>
          </w:tcPr>
          <w:p w14:paraId="57CD6AA3" w14:textId="77777777" w:rsidR="004C5FF8" w:rsidRPr="00B52FFB" w:rsidRDefault="004C5FF8" w:rsidP="00D40633">
            <w:pPr>
              <w:ind w:firstLine="426"/>
            </w:pPr>
            <w:r w:rsidRPr="00B52FFB">
              <w:rPr>
                <w:i/>
                <w:u w:val="single"/>
              </w:rPr>
              <w:t>Financial Documents</w:t>
            </w:r>
          </w:p>
        </w:tc>
      </w:tr>
      <w:tr w:rsidR="00B52FFB" w:rsidRPr="00B52FFB" w14:paraId="50C1405B" w14:textId="77777777" w:rsidTr="00F45F42">
        <w:trPr>
          <w:gridAfter w:val="1"/>
          <w:wAfter w:w="37" w:type="dxa"/>
        </w:trPr>
        <w:tc>
          <w:tcPr>
            <w:tcW w:w="863" w:type="dxa"/>
          </w:tcPr>
          <w:p w14:paraId="2FE15669"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72BCD195" w14:textId="77777777" w:rsidR="004C5FF8" w:rsidRPr="00B52FFB" w:rsidRDefault="004C5FF8" w:rsidP="00F45F42">
            <w:pPr>
              <w:numPr>
                <w:ilvl w:val="3"/>
                <w:numId w:val="1"/>
              </w:numPr>
              <w:ind w:left="556" w:hanging="540"/>
              <w:rPr>
                <w:u w:val="single"/>
              </w:rPr>
            </w:pPr>
            <w:r w:rsidRPr="00B52FFB">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B52FFB">
              <w:rPr>
                <w:b/>
                <w:u w:val="single"/>
              </w:rPr>
              <w:t>and</w:t>
            </w:r>
          </w:p>
        </w:tc>
      </w:tr>
      <w:tr w:rsidR="00B52FFB" w:rsidRPr="00B52FFB" w14:paraId="11AF3D5B" w14:textId="77777777" w:rsidTr="00F45F42">
        <w:trPr>
          <w:gridAfter w:val="1"/>
          <w:wAfter w:w="37" w:type="dxa"/>
        </w:trPr>
        <w:tc>
          <w:tcPr>
            <w:tcW w:w="863" w:type="dxa"/>
          </w:tcPr>
          <w:p w14:paraId="20CECD62" w14:textId="77777777" w:rsidR="004C5FF8" w:rsidRPr="00B52FFB" w:rsidRDefault="004C5FF8" w:rsidP="00D40633">
            <w:pPr>
              <w:ind w:left="432"/>
            </w:pPr>
            <w:r w:rsidRPr="00B52FFB">
              <w:rPr>
                <w:rFonts w:ascii="Nova Mono" w:eastAsia="Nova Mono" w:hAnsi="Nova Mono" w:cs="Nova Mono"/>
              </w:rPr>
              <w:lastRenderedPageBreak/>
              <w:t>⬜</w:t>
            </w:r>
          </w:p>
        </w:tc>
        <w:tc>
          <w:tcPr>
            <w:tcW w:w="8166" w:type="dxa"/>
            <w:gridSpan w:val="2"/>
          </w:tcPr>
          <w:p w14:paraId="38A9F8C7" w14:textId="77777777" w:rsidR="004C5FF8" w:rsidRPr="00B52FFB" w:rsidRDefault="004C5FF8" w:rsidP="00F45F42">
            <w:pPr>
              <w:numPr>
                <w:ilvl w:val="3"/>
                <w:numId w:val="1"/>
              </w:numPr>
              <w:ind w:left="556" w:hanging="540"/>
            </w:pPr>
            <w:r w:rsidRPr="00B52FFB">
              <w:t xml:space="preserve">The prospective bidder’s computation of Net Financial Contracting Capacity (NFCC); </w:t>
            </w:r>
          </w:p>
          <w:p w14:paraId="6BB9AB67" w14:textId="77777777" w:rsidR="004C5FF8" w:rsidRPr="00B52FFB" w:rsidRDefault="004C5FF8" w:rsidP="00D40633">
            <w:pPr>
              <w:ind w:left="608"/>
              <w:rPr>
                <w:b/>
              </w:rPr>
            </w:pPr>
            <w:r w:rsidRPr="00B52FFB">
              <w:rPr>
                <w:b/>
                <w:u w:val="single"/>
              </w:rPr>
              <w:t>or</w:t>
            </w:r>
            <w:r w:rsidRPr="00B52FFB">
              <w:rPr>
                <w:b/>
              </w:rPr>
              <w:t xml:space="preserve"> </w:t>
            </w:r>
          </w:p>
          <w:p w14:paraId="4CF188B3" w14:textId="77777777" w:rsidR="004C5FF8" w:rsidRPr="00B52FFB" w:rsidRDefault="004C5FF8" w:rsidP="00D40633">
            <w:pPr>
              <w:ind w:left="608"/>
            </w:pPr>
            <w:r w:rsidRPr="00B52FFB">
              <w:t>A committed Line of Credit from a Universal or Commercial Bank in lieu of its NFCC computation.</w:t>
            </w:r>
          </w:p>
          <w:p w14:paraId="691625A6" w14:textId="77777777" w:rsidR="004C5FF8" w:rsidRPr="00B52FFB" w:rsidRDefault="004C5FF8" w:rsidP="00D40633">
            <w:pPr>
              <w:ind w:left="608"/>
            </w:pPr>
          </w:p>
        </w:tc>
      </w:tr>
      <w:tr w:rsidR="00B52FFB" w:rsidRPr="00B52FFB" w14:paraId="21A9415C" w14:textId="77777777" w:rsidTr="00F45F42">
        <w:trPr>
          <w:gridAfter w:val="1"/>
          <w:wAfter w:w="37" w:type="dxa"/>
        </w:trPr>
        <w:tc>
          <w:tcPr>
            <w:tcW w:w="9029" w:type="dxa"/>
            <w:gridSpan w:val="3"/>
          </w:tcPr>
          <w:p w14:paraId="0AD17CB1" w14:textId="77777777" w:rsidR="004C5FF8" w:rsidRPr="00B52FFB" w:rsidRDefault="004C5FF8" w:rsidP="00D40633">
            <w:pPr>
              <w:jc w:val="center"/>
            </w:pPr>
            <w:r w:rsidRPr="00B52FFB">
              <w:rPr>
                <w:b/>
                <w:i/>
              </w:rPr>
              <w:t>Class “B” Documents</w:t>
            </w:r>
          </w:p>
        </w:tc>
      </w:tr>
      <w:tr w:rsidR="00B52FFB" w:rsidRPr="00B52FFB" w14:paraId="7B3FE00B" w14:textId="77777777" w:rsidTr="00F45F42">
        <w:trPr>
          <w:gridAfter w:val="1"/>
          <w:wAfter w:w="37" w:type="dxa"/>
        </w:trPr>
        <w:tc>
          <w:tcPr>
            <w:tcW w:w="863" w:type="dxa"/>
          </w:tcPr>
          <w:p w14:paraId="753D1C98" w14:textId="77777777" w:rsidR="004C5FF8" w:rsidRPr="00B52FFB" w:rsidRDefault="004C5FF8" w:rsidP="00D40633">
            <w:pPr>
              <w:ind w:left="432"/>
            </w:pPr>
            <w:r w:rsidRPr="00B52FFB">
              <w:rPr>
                <w:rFonts w:ascii="Nova Mono" w:eastAsia="Nova Mono" w:hAnsi="Nova Mono" w:cs="Nova Mono"/>
              </w:rPr>
              <w:t>⬜</w:t>
            </w:r>
          </w:p>
        </w:tc>
        <w:tc>
          <w:tcPr>
            <w:tcW w:w="8166" w:type="dxa"/>
            <w:gridSpan w:val="2"/>
          </w:tcPr>
          <w:p w14:paraId="447ED992" w14:textId="77777777" w:rsidR="004C5FF8" w:rsidRPr="00B52FFB" w:rsidRDefault="004C5FF8" w:rsidP="00F45F42">
            <w:pPr>
              <w:numPr>
                <w:ilvl w:val="3"/>
                <w:numId w:val="1"/>
              </w:numPr>
              <w:ind w:left="556" w:hanging="540"/>
            </w:pPr>
            <w:r w:rsidRPr="00B52FFB">
              <w:t>If applicable, a duly signed joint venture agreement (JVA) in case the joint venture is already in existence;</w:t>
            </w:r>
          </w:p>
          <w:p w14:paraId="516D94AC" w14:textId="77777777" w:rsidR="004C5FF8" w:rsidRPr="00B52FFB" w:rsidRDefault="004C5FF8" w:rsidP="00D40633">
            <w:pPr>
              <w:ind w:left="610"/>
              <w:rPr>
                <w:b/>
                <w:u w:val="single"/>
              </w:rPr>
            </w:pPr>
            <w:r w:rsidRPr="00B52FFB">
              <w:rPr>
                <w:b/>
                <w:u w:val="single"/>
              </w:rPr>
              <w:t xml:space="preserve">or </w:t>
            </w:r>
          </w:p>
          <w:p w14:paraId="32241897" w14:textId="77777777" w:rsidR="004C5FF8" w:rsidRPr="00B52FFB" w:rsidRDefault="004C5FF8" w:rsidP="00FF1EAC">
            <w:pPr>
              <w:ind w:left="587"/>
            </w:pPr>
            <w:r w:rsidRPr="00B52FFB">
              <w:t xml:space="preserve">duly notarized statements from all the potential joint venture partners stating that they will </w:t>
            </w:r>
            <w:proofErr w:type="gramStart"/>
            <w:r w:rsidRPr="00B52FFB">
              <w:t>enter into</w:t>
            </w:r>
            <w:proofErr w:type="gramEnd"/>
            <w:r w:rsidRPr="00B52FFB">
              <w:t xml:space="preserve"> and abide by the provisions of the JVA in the instance that the bid is successful.</w:t>
            </w:r>
          </w:p>
          <w:p w14:paraId="778D1A89" w14:textId="73C36C37" w:rsidR="00F45F42" w:rsidRPr="00B52FFB" w:rsidRDefault="00F45F42" w:rsidP="00FF1EAC">
            <w:pPr>
              <w:ind w:left="587"/>
            </w:pPr>
          </w:p>
        </w:tc>
      </w:tr>
      <w:tr w:rsidR="00B52FFB" w:rsidRPr="00B52FFB" w14:paraId="7FD6EF72" w14:textId="77777777" w:rsidTr="00F45F42">
        <w:trPr>
          <w:gridAfter w:val="1"/>
          <w:wAfter w:w="37" w:type="dxa"/>
        </w:trPr>
        <w:tc>
          <w:tcPr>
            <w:tcW w:w="9029" w:type="dxa"/>
            <w:gridSpan w:val="3"/>
          </w:tcPr>
          <w:p w14:paraId="2D6E69A0" w14:textId="45F40485" w:rsidR="00F45F42" w:rsidRPr="00B52FFB" w:rsidRDefault="00F45F42" w:rsidP="00F45F42">
            <w:pPr>
              <w:jc w:val="center"/>
            </w:pPr>
            <w:r w:rsidRPr="00B52FFB">
              <w:rPr>
                <w:b/>
                <w:i/>
              </w:rPr>
              <w:t>Additional Documents</w:t>
            </w:r>
          </w:p>
        </w:tc>
      </w:tr>
      <w:tr w:rsidR="00B52FFB" w:rsidRPr="00B52FFB" w14:paraId="63DF633F" w14:textId="61FED5E8" w:rsidTr="00F45F42">
        <w:tc>
          <w:tcPr>
            <w:tcW w:w="900" w:type="dxa"/>
            <w:gridSpan w:val="2"/>
          </w:tcPr>
          <w:p w14:paraId="6C9D269E" w14:textId="4B8935D2" w:rsidR="00F45F42" w:rsidRPr="00B52FFB" w:rsidRDefault="00F45F42" w:rsidP="00F45F42">
            <w:pPr>
              <w:ind w:right="7130"/>
            </w:pPr>
            <w:r w:rsidRPr="00B52FFB">
              <w:rPr>
                <w:rFonts w:ascii="Nova Mono" w:eastAsia="Nova Mono" w:hAnsi="Nova Mono" w:cs="Nova Mono"/>
              </w:rPr>
              <w:t>⬜</w:t>
            </w:r>
          </w:p>
        </w:tc>
        <w:tc>
          <w:tcPr>
            <w:tcW w:w="8166" w:type="dxa"/>
            <w:gridSpan w:val="2"/>
          </w:tcPr>
          <w:p w14:paraId="04AFD8C3" w14:textId="385A9ADD" w:rsidR="00A34BC6" w:rsidRPr="00B52FFB" w:rsidRDefault="00A34BC6" w:rsidP="00B03CFD">
            <w:pPr>
              <w:pStyle w:val="ListParagraph"/>
              <w:numPr>
                <w:ilvl w:val="3"/>
                <w:numId w:val="7"/>
              </w:numPr>
              <w:ind w:left="826" w:hanging="574"/>
            </w:pPr>
            <w:r w:rsidRPr="00B52FFB">
              <w:t>product specifications as supported by brochures or catalogues;</w:t>
            </w:r>
          </w:p>
          <w:p w14:paraId="691B75D9" w14:textId="70112B57" w:rsidR="00A34BC6" w:rsidRPr="00B52FFB" w:rsidRDefault="00A34BC6" w:rsidP="00B03CFD">
            <w:pPr>
              <w:pStyle w:val="ListParagraph"/>
              <w:numPr>
                <w:ilvl w:val="3"/>
                <w:numId w:val="7"/>
              </w:numPr>
              <w:ind w:left="826" w:hanging="574"/>
            </w:pPr>
            <w:r w:rsidRPr="00B52FFB">
              <w:t>bidder’s certification that it has after-sales support in Region X;</w:t>
            </w:r>
          </w:p>
          <w:p w14:paraId="5D84EAD5" w14:textId="5F7B5EBE" w:rsidR="00A34BC6" w:rsidRPr="00B52FFB" w:rsidRDefault="00A34BC6" w:rsidP="00B03CFD">
            <w:pPr>
              <w:pStyle w:val="ListParagraph"/>
              <w:numPr>
                <w:ilvl w:val="3"/>
                <w:numId w:val="7"/>
              </w:numPr>
              <w:ind w:left="826" w:hanging="574"/>
            </w:pPr>
            <w:r w:rsidRPr="00B52FFB">
              <w:t>bidder’s certification for three (3) years warranty;</w:t>
            </w:r>
          </w:p>
          <w:p w14:paraId="4F31E7E3" w14:textId="3B11DCF2" w:rsidR="00A34BC6" w:rsidRPr="00B52FFB" w:rsidRDefault="00A34BC6" w:rsidP="00B03CFD">
            <w:pPr>
              <w:pStyle w:val="ListParagraph"/>
              <w:numPr>
                <w:ilvl w:val="3"/>
                <w:numId w:val="7"/>
              </w:numPr>
              <w:ind w:left="826" w:hanging="574"/>
            </w:pPr>
            <w:r w:rsidRPr="00B52FFB">
              <w:t>certification from manufacturer/distributor that bidder is authorized dealer; and</w:t>
            </w:r>
          </w:p>
          <w:p w14:paraId="086118C0" w14:textId="1AEE8FCB" w:rsidR="00F45F42" w:rsidRPr="00B52FFB" w:rsidRDefault="00A34BC6" w:rsidP="00CC3E94">
            <w:pPr>
              <w:pStyle w:val="ListParagraph"/>
              <w:numPr>
                <w:ilvl w:val="3"/>
                <w:numId w:val="7"/>
              </w:numPr>
              <w:ind w:left="826" w:hanging="574"/>
            </w:pPr>
            <w:r w:rsidRPr="00B52FFB">
              <w:t>certification of Service Center within the Region X.</w:t>
            </w:r>
          </w:p>
        </w:tc>
      </w:tr>
    </w:tbl>
    <w:p w14:paraId="6E94717C" w14:textId="7054796E" w:rsidR="004C5FF8" w:rsidRPr="00B52FFB" w:rsidRDefault="004C5FF8" w:rsidP="004C5FF8">
      <w:pPr>
        <w:rPr>
          <w:b/>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52FFB" w:rsidRPr="00B52FFB" w14:paraId="5C629D1F" w14:textId="77777777" w:rsidTr="00D40633">
        <w:tc>
          <w:tcPr>
            <w:tcW w:w="9034" w:type="dxa"/>
            <w:gridSpan w:val="2"/>
          </w:tcPr>
          <w:p w14:paraId="4FD2931D" w14:textId="77777777" w:rsidR="004C5FF8" w:rsidRPr="00B52FFB" w:rsidRDefault="004C5FF8" w:rsidP="000D6A92">
            <w:pPr>
              <w:widowControl w:val="0"/>
              <w:numPr>
                <w:ilvl w:val="0"/>
                <w:numId w:val="4"/>
              </w:numPr>
              <w:pBdr>
                <w:top w:val="nil"/>
                <w:left w:val="nil"/>
                <w:bottom w:val="nil"/>
                <w:right w:val="nil"/>
                <w:between w:val="nil"/>
              </w:pBdr>
              <w:ind w:right="632"/>
              <w:jc w:val="left"/>
              <w:rPr>
                <w:b/>
              </w:rPr>
            </w:pPr>
            <w:r w:rsidRPr="00B52FFB">
              <w:rPr>
                <w:b/>
              </w:rPr>
              <w:t>FINANCIAL COMPONENT ENVELOPE</w:t>
            </w:r>
          </w:p>
        </w:tc>
      </w:tr>
      <w:tr w:rsidR="00B52FFB" w:rsidRPr="00B52FFB" w14:paraId="107F9B35" w14:textId="77777777" w:rsidTr="00D40633">
        <w:tc>
          <w:tcPr>
            <w:tcW w:w="889" w:type="dxa"/>
          </w:tcPr>
          <w:p w14:paraId="4E328314" w14:textId="77777777" w:rsidR="004C5FF8" w:rsidRPr="00B52FFB" w:rsidRDefault="004C5FF8" w:rsidP="00D40633">
            <w:pPr>
              <w:ind w:left="432"/>
              <w:rPr>
                <w:rFonts w:ascii="Nova Mono" w:eastAsia="Nova Mono" w:hAnsi="Nova Mono" w:cs="Nova Mono"/>
              </w:rPr>
            </w:pPr>
            <w:r w:rsidRPr="00B52FFB">
              <w:rPr>
                <w:rFonts w:ascii="Nova Mono" w:eastAsia="Nova Mono" w:hAnsi="Nova Mono" w:cs="Nova Mono"/>
              </w:rPr>
              <w:t>⬜</w:t>
            </w:r>
          </w:p>
          <w:p w14:paraId="02DB87C9" w14:textId="77777777" w:rsidR="00F92B2C" w:rsidRPr="00B52FFB" w:rsidRDefault="00F92B2C" w:rsidP="00D40633">
            <w:pPr>
              <w:ind w:left="432"/>
              <w:rPr>
                <w:b/>
              </w:rPr>
            </w:pPr>
            <w:r w:rsidRPr="00B52FFB">
              <w:rPr>
                <w:rFonts w:ascii="Nova Mono" w:eastAsia="Nova Mono" w:hAnsi="Nova Mono" w:cs="Nova Mono"/>
              </w:rPr>
              <w:t>⬜</w:t>
            </w:r>
          </w:p>
        </w:tc>
        <w:tc>
          <w:tcPr>
            <w:tcW w:w="8145" w:type="dxa"/>
          </w:tcPr>
          <w:p w14:paraId="3AF4E49D" w14:textId="09156D38" w:rsidR="00F92B2C" w:rsidRPr="00B52FFB" w:rsidRDefault="004C5FF8" w:rsidP="004C5FF8">
            <w:pPr>
              <w:widowControl w:val="0"/>
              <w:numPr>
                <w:ilvl w:val="0"/>
                <w:numId w:val="5"/>
              </w:numPr>
              <w:pBdr>
                <w:top w:val="nil"/>
                <w:left w:val="nil"/>
                <w:bottom w:val="nil"/>
                <w:right w:val="nil"/>
                <w:between w:val="nil"/>
              </w:pBdr>
              <w:tabs>
                <w:tab w:val="left" w:pos="1180"/>
                <w:tab w:val="left" w:pos="1181"/>
              </w:tabs>
              <w:ind w:left="497" w:hanging="540"/>
            </w:pPr>
            <w:r w:rsidRPr="00B52FFB">
              <w:t>Original of duly signed and accomplished Financial Bid Form;</w:t>
            </w:r>
            <w:r w:rsidR="002D2E29" w:rsidRPr="00B52FFB">
              <w:t xml:space="preserve"> </w:t>
            </w:r>
            <w:r w:rsidR="005C1165" w:rsidRPr="00B52FFB">
              <w:rPr>
                <w:b/>
                <w:u w:val="single"/>
              </w:rPr>
              <w:t>and</w:t>
            </w:r>
          </w:p>
          <w:p w14:paraId="5FF33686" w14:textId="2FCE0AF6" w:rsidR="004C5FF8" w:rsidRPr="00B52FFB" w:rsidRDefault="009C1002" w:rsidP="004C5FF8">
            <w:pPr>
              <w:widowControl w:val="0"/>
              <w:numPr>
                <w:ilvl w:val="0"/>
                <w:numId w:val="5"/>
              </w:numPr>
              <w:pBdr>
                <w:top w:val="nil"/>
                <w:left w:val="nil"/>
                <w:bottom w:val="nil"/>
                <w:right w:val="nil"/>
                <w:between w:val="nil"/>
              </w:pBdr>
              <w:tabs>
                <w:tab w:val="left" w:pos="1180"/>
                <w:tab w:val="left" w:pos="1181"/>
              </w:tabs>
              <w:ind w:left="497" w:hanging="540"/>
            </w:pPr>
            <w:r w:rsidRPr="00B52FFB">
              <w:t xml:space="preserve">Original </w:t>
            </w:r>
            <w:r w:rsidR="00F92B2C" w:rsidRPr="00B52FFB">
              <w:t xml:space="preserve">Bid Form duly signed by BAC Chairperson; </w:t>
            </w:r>
            <w:r w:rsidR="004C5FF8" w:rsidRPr="00B52FFB">
              <w:rPr>
                <w:b/>
              </w:rPr>
              <w:t>and</w:t>
            </w:r>
          </w:p>
        </w:tc>
      </w:tr>
      <w:tr w:rsidR="00B52FFB" w:rsidRPr="00B52FFB" w14:paraId="48446E9A" w14:textId="77777777" w:rsidTr="00D40633">
        <w:tc>
          <w:tcPr>
            <w:tcW w:w="889" w:type="dxa"/>
          </w:tcPr>
          <w:p w14:paraId="0A7202A5" w14:textId="77777777" w:rsidR="004C5FF8" w:rsidRPr="00B52FFB" w:rsidRDefault="004C5FF8" w:rsidP="00D40633">
            <w:pPr>
              <w:ind w:left="432"/>
            </w:pPr>
            <w:r w:rsidRPr="00B52FFB">
              <w:rPr>
                <w:rFonts w:ascii="Nova Mono" w:eastAsia="Nova Mono" w:hAnsi="Nova Mono" w:cs="Nova Mono"/>
              </w:rPr>
              <w:t>⬜</w:t>
            </w:r>
          </w:p>
        </w:tc>
        <w:tc>
          <w:tcPr>
            <w:tcW w:w="8145" w:type="dxa"/>
          </w:tcPr>
          <w:p w14:paraId="52DC24DE" w14:textId="77777777" w:rsidR="004C5FF8" w:rsidRPr="00B52FFB" w:rsidRDefault="004C5FF8" w:rsidP="004C5FF8">
            <w:pPr>
              <w:widowControl w:val="0"/>
              <w:numPr>
                <w:ilvl w:val="0"/>
                <w:numId w:val="5"/>
              </w:numPr>
              <w:pBdr>
                <w:top w:val="nil"/>
                <w:left w:val="nil"/>
                <w:bottom w:val="nil"/>
                <w:right w:val="nil"/>
                <w:between w:val="nil"/>
              </w:pBdr>
              <w:tabs>
                <w:tab w:val="left" w:pos="1180"/>
                <w:tab w:val="left" w:pos="1181"/>
              </w:tabs>
              <w:ind w:left="497" w:hanging="540"/>
            </w:pPr>
            <w:r w:rsidRPr="00B52FFB">
              <w:t>Original of duly signed and accomplished Price Schedule(s).</w:t>
            </w:r>
          </w:p>
          <w:p w14:paraId="627F49F0" w14:textId="77777777" w:rsidR="004C5FF8" w:rsidRPr="00B52FFB" w:rsidRDefault="004C5FF8" w:rsidP="00D40633">
            <w:pPr>
              <w:widowControl w:val="0"/>
              <w:pBdr>
                <w:top w:val="nil"/>
                <w:left w:val="nil"/>
                <w:bottom w:val="nil"/>
                <w:right w:val="nil"/>
                <w:between w:val="nil"/>
              </w:pBdr>
              <w:tabs>
                <w:tab w:val="left" w:pos="1180"/>
                <w:tab w:val="left" w:pos="1181"/>
              </w:tabs>
              <w:ind w:left="497"/>
            </w:pPr>
          </w:p>
        </w:tc>
      </w:tr>
    </w:tbl>
    <w:p w14:paraId="7D597791" w14:textId="6C4CE504" w:rsidR="001E379C" w:rsidRPr="005B4B0C" w:rsidRDefault="005B4B0C" w:rsidP="005B4B0C">
      <w:pPr>
        <w:tabs>
          <w:tab w:val="left" w:pos="5025"/>
        </w:tabs>
      </w:pPr>
      <w:bookmarkStart w:id="4" w:name="_GoBack"/>
      <w:bookmarkEnd w:id="4"/>
      <w:r>
        <w:tab/>
      </w:r>
    </w:p>
    <w:sectPr w:rsidR="001E379C" w:rsidRPr="005B4B0C" w:rsidSect="00732756">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830D" w14:textId="77777777" w:rsidR="00A1526D" w:rsidRDefault="00A1526D" w:rsidP="00732756">
      <w:r>
        <w:separator/>
      </w:r>
    </w:p>
  </w:endnote>
  <w:endnote w:type="continuationSeparator" w:id="0">
    <w:p w14:paraId="6700A03B" w14:textId="77777777" w:rsidR="00A1526D" w:rsidRDefault="00A1526D" w:rsidP="0073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va Mono">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sz w:val="14"/>
        <w:szCs w:val="14"/>
      </w:rPr>
      <w:id w:val="-770861507"/>
      <w:docPartObj>
        <w:docPartGallery w:val="Page Numbers (Bottom of Page)"/>
        <w:docPartUnique/>
      </w:docPartObj>
    </w:sdtPr>
    <w:sdtEndPr/>
    <w:sdtContent>
      <w:sdt>
        <w:sdtPr>
          <w:rPr>
            <w:rFonts w:ascii="Century Gothic" w:hAnsi="Century Gothic"/>
            <w:b/>
            <w:sz w:val="14"/>
            <w:szCs w:val="14"/>
          </w:rPr>
          <w:id w:val="1728636285"/>
          <w:docPartObj>
            <w:docPartGallery w:val="Page Numbers (Top of Page)"/>
            <w:docPartUnique/>
          </w:docPartObj>
        </w:sdtPr>
        <w:sdtEndPr/>
        <w:sdtContent>
          <w:p w14:paraId="4C6EAAA7" w14:textId="6FD38C1E" w:rsidR="00732756" w:rsidRPr="00220F8C" w:rsidRDefault="00FD15BA" w:rsidP="00732756">
            <w:pPr>
              <w:pStyle w:val="Footer"/>
              <w:jc w:val="center"/>
              <w:rPr>
                <w:rFonts w:ascii="Century Schoolbook" w:hAnsi="Century Schoolbook"/>
                <w:b/>
                <w:i/>
                <w:sz w:val="14"/>
                <w:szCs w:val="14"/>
              </w:rPr>
            </w:pPr>
            <w:r w:rsidRPr="00220F8C">
              <w:rPr>
                <w:rFonts w:ascii="Century Schoolbook" w:hAnsi="Century Schoolbook"/>
                <w:b/>
                <w:i/>
                <w:sz w:val="14"/>
                <w:szCs w:val="14"/>
              </w:rPr>
              <w:t>Checklist of Technical and Financial Documents</w:t>
            </w:r>
            <w:r w:rsidR="00732756" w:rsidRPr="00220F8C">
              <w:rPr>
                <w:rFonts w:ascii="Century Schoolbook" w:hAnsi="Century Schoolbook"/>
                <w:b/>
                <w:i/>
                <w:sz w:val="14"/>
                <w:szCs w:val="14"/>
              </w:rPr>
              <w:t xml:space="preserve"> - </w:t>
            </w:r>
            <w:r w:rsidR="005B4B0C" w:rsidRPr="00220F8C">
              <w:rPr>
                <w:rFonts w:ascii="Century Schoolbook" w:hAnsi="Century Schoolbook"/>
                <w:b/>
                <w:i/>
                <w:sz w:val="14"/>
                <w:szCs w:val="14"/>
              </w:rPr>
              <w:t>Negotiated Procurement Under Two-Failed Biddings of the Proposed Procurement for the Supply and Delivery of Various Motor Vehicles for USTP-System</w:t>
            </w:r>
          </w:p>
          <w:p w14:paraId="4C95AC06" w14:textId="77777777" w:rsidR="00732756" w:rsidRPr="00220F8C" w:rsidRDefault="00732756" w:rsidP="00732756">
            <w:pPr>
              <w:pStyle w:val="Footer"/>
              <w:jc w:val="center"/>
              <w:rPr>
                <w:rFonts w:ascii="Century Gothic" w:hAnsi="Century Gothic"/>
                <w:b/>
                <w:i/>
                <w:sz w:val="14"/>
                <w:szCs w:val="14"/>
              </w:rPr>
            </w:pPr>
          </w:p>
          <w:p w14:paraId="4DA9F80C" w14:textId="71FCFB4B" w:rsidR="00732756" w:rsidRPr="00220F8C" w:rsidRDefault="00732756" w:rsidP="00732756">
            <w:pPr>
              <w:pStyle w:val="Footer"/>
              <w:jc w:val="center"/>
              <w:rPr>
                <w:rFonts w:ascii="Century Gothic" w:hAnsi="Century Gothic"/>
                <w:b/>
                <w:sz w:val="14"/>
                <w:szCs w:val="14"/>
              </w:rPr>
            </w:pPr>
            <w:r w:rsidRPr="00220F8C">
              <w:rPr>
                <w:rFonts w:ascii="Century Gothic" w:hAnsi="Century Gothic"/>
                <w:sz w:val="14"/>
                <w:szCs w:val="14"/>
              </w:rPr>
              <w:t xml:space="preserve">Page </w:t>
            </w:r>
            <w:r w:rsidRPr="00220F8C">
              <w:rPr>
                <w:rFonts w:ascii="Century Gothic" w:hAnsi="Century Gothic"/>
                <w:bCs/>
                <w:sz w:val="14"/>
                <w:szCs w:val="14"/>
              </w:rPr>
              <w:fldChar w:fldCharType="begin"/>
            </w:r>
            <w:r w:rsidRPr="00220F8C">
              <w:rPr>
                <w:rFonts w:ascii="Century Gothic" w:hAnsi="Century Gothic"/>
                <w:bCs/>
                <w:sz w:val="14"/>
                <w:szCs w:val="14"/>
              </w:rPr>
              <w:instrText xml:space="preserve"> PAGE </w:instrText>
            </w:r>
            <w:r w:rsidRPr="00220F8C">
              <w:rPr>
                <w:rFonts w:ascii="Century Gothic" w:hAnsi="Century Gothic"/>
                <w:bCs/>
                <w:sz w:val="14"/>
                <w:szCs w:val="14"/>
              </w:rPr>
              <w:fldChar w:fldCharType="separate"/>
            </w:r>
            <w:r w:rsidR="005B4B0C" w:rsidRPr="00220F8C">
              <w:rPr>
                <w:rFonts w:ascii="Century Gothic" w:hAnsi="Century Gothic"/>
                <w:bCs/>
                <w:noProof/>
                <w:sz w:val="14"/>
                <w:szCs w:val="14"/>
              </w:rPr>
              <w:t>3</w:t>
            </w:r>
            <w:r w:rsidRPr="00220F8C">
              <w:rPr>
                <w:rFonts w:ascii="Century Gothic" w:hAnsi="Century Gothic"/>
                <w:bCs/>
                <w:sz w:val="14"/>
                <w:szCs w:val="14"/>
              </w:rPr>
              <w:fldChar w:fldCharType="end"/>
            </w:r>
            <w:r w:rsidRPr="00220F8C">
              <w:rPr>
                <w:rFonts w:ascii="Century Gothic" w:hAnsi="Century Gothic"/>
                <w:sz w:val="14"/>
                <w:szCs w:val="14"/>
              </w:rPr>
              <w:t xml:space="preserve"> of </w:t>
            </w:r>
            <w:r w:rsidRPr="00220F8C">
              <w:rPr>
                <w:rFonts w:ascii="Century Gothic" w:hAnsi="Century Gothic"/>
                <w:bCs/>
                <w:sz w:val="14"/>
                <w:szCs w:val="14"/>
              </w:rPr>
              <w:fldChar w:fldCharType="begin"/>
            </w:r>
            <w:r w:rsidRPr="00220F8C">
              <w:rPr>
                <w:rFonts w:ascii="Century Gothic" w:hAnsi="Century Gothic"/>
                <w:bCs/>
                <w:sz w:val="14"/>
                <w:szCs w:val="14"/>
              </w:rPr>
              <w:instrText xml:space="preserve"> NUMPAGES  </w:instrText>
            </w:r>
            <w:r w:rsidRPr="00220F8C">
              <w:rPr>
                <w:rFonts w:ascii="Century Gothic" w:hAnsi="Century Gothic"/>
                <w:bCs/>
                <w:sz w:val="14"/>
                <w:szCs w:val="14"/>
              </w:rPr>
              <w:fldChar w:fldCharType="separate"/>
            </w:r>
            <w:r w:rsidR="005B4B0C" w:rsidRPr="00220F8C">
              <w:rPr>
                <w:rFonts w:ascii="Century Gothic" w:hAnsi="Century Gothic"/>
                <w:bCs/>
                <w:noProof/>
                <w:sz w:val="14"/>
                <w:szCs w:val="14"/>
              </w:rPr>
              <w:t>3</w:t>
            </w:r>
            <w:r w:rsidRPr="00220F8C">
              <w:rPr>
                <w:rFonts w:ascii="Century Gothic" w:hAnsi="Century Gothic"/>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5534" w14:textId="77777777" w:rsidR="00A1526D" w:rsidRDefault="00A1526D" w:rsidP="00732756">
      <w:r>
        <w:separator/>
      </w:r>
    </w:p>
  </w:footnote>
  <w:footnote w:type="continuationSeparator" w:id="0">
    <w:p w14:paraId="641925B0" w14:textId="77777777" w:rsidR="00A1526D" w:rsidRDefault="00A1526D" w:rsidP="00732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ED1076"/>
    <w:multiLevelType w:val="hybridMultilevel"/>
    <w:tmpl w:val="55E6C75A"/>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 w15:restartNumberingAfterBreak="0">
    <w:nsid w:val="26B36129"/>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F8"/>
    <w:rsid w:val="00025223"/>
    <w:rsid w:val="00045292"/>
    <w:rsid w:val="00095C19"/>
    <w:rsid w:val="000D531A"/>
    <w:rsid w:val="000D5AF8"/>
    <w:rsid w:val="000D6A92"/>
    <w:rsid w:val="000E3012"/>
    <w:rsid w:val="000E5715"/>
    <w:rsid w:val="00111CCB"/>
    <w:rsid w:val="00127B7D"/>
    <w:rsid w:val="001C0E52"/>
    <w:rsid w:val="001C3BE6"/>
    <w:rsid w:val="001E379C"/>
    <w:rsid w:val="00220F8C"/>
    <w:rsid w:val="002D2E29"/>
    <w:rsid w:val="00366A17"/>
    <w:rsid w:val="00412E28"/>
    <w:rsid w:val="0049488C"/>
    <w:rsid w:val="004C5FF8"/>
    <w:rsid w:val="00534ACD"/>
    <w:rsid w:val="00537E1F"/>
    <w:rsid w:val="0056634D"/>
    <w:rsid w:val="005A60D3"/>
    <w:rsid w:val="005B4B0C"/>
    <w:rsid w:val="005B7E2D"/>
    <w:rsid w:val="005C1165"/>
    <w:rsid w:val="005D2E34"/>
    <w:rsid w:val="006425A7"/>
    <w:rsid w:val="006A7B65"/>
    <w:rsid w:val="006F2FAC"/>
    <w:rsid w:val="00732756"/>
    <w:rsid w:val="0091547C"/>
    <w:rsid w:val="00917693"/>
    <w:rsid w:val="009C1002"/>
    <w:rsid w:val="00A1526D"/>
    <w:rsid w:val="00A34BC6"/>
    <w:rsid w:val="00A81FFF"/>
    <w:rsid w:val="00AE400B"/>
    <w:rsid w:val="00B03CFD"/>
    <w:rsid w:val="00B37C10"/>
    <w:rsid w:val="00B52FFB"/>
    <w:rsid w:val="00C23ECD"/>
    <w:rsid w:val="00C67A11"/>
    <w:rsid w:val="00C73B32"/>
    <w:rsid w:val="00C878E2"/>
    <w:rsid w:val="00CC08B9"/>
    <w:rsid w:val="00CC3E94"/>
    <w:rsid w:val="00DD536B"/>
    <w:rsid w:val="00E57D29"/>
    <w:rsid w:val="00EA0193"/>
    <w:rsid w:val="00F41510"/>
    <w:rsid w:val="00F45F42"/>
    <w:rsid w:val="00F532F0"/>
    <w:rsid w:val="00F92B2C"/>
    <w:rsid w:val="00F95725"/>
    <w:rsid w:val="00FB39A5"/>
    <w:rsid w:val="00FD15BA"/>
    <w:rsid w:val="00FF1E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243F"/>
  <w15:chartTrackingRefBased/>
  <w15:docId w15:val="{758B0158-F459-4B28-B205-33412F09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F8"/>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4C5FF8"/>
    <w:pPr>
      <w:keepNext/>
      <w:spacing w:before="240" w:after="240"/>
      <w:jc w:val="center"/>
      <w:outlineLvl w:val="0"/>
    </w:pPr>
    <w:rPr>
      <w:b/>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FF8"/>
    <w:rPr>
      <w:rFonts w:ascii="Times New Roman" w:eastAsia="Times New Roman" w:hAnsi="Times New Roman" w:cs="Times New Roman"/>
      <w:b/>
      <w:i/>
      <w:sz w:val="48"/>
      <w:szCs w:val="48"/>
      <w:lang w:val="en-US" w:eastAsia="en-PH"/>
    </w:rPr>
  </w:style>
  <w:style w:type="paragraph" w:styleId="Header">
    <w:name w:val="header"/>
    <w:basedOn w:val="Normal"/>
    <w:link w:val="HeaderChar"/>
    <w:uiPriority w:val="99"/>
    <w:unhideWhenUsed/>
    <w:rsid w:val="00732756"/>
    <w:pPr>
      <w:tabs>
        <w:tab w:val="center" w:pos="4680"/>
        <w:tab w:val="right" w:pos="9360"/>
      </w:tabs>
    </w:pPr>
  </w:style>
  <w:style w:type="character" w:customStyle="1" w:styleId="HeaderChar">
    <w:name w:val="Header Char"/>
    <w:basedOn w:val="DefaultParagraphFont"/>
    <w:link w:val="Header"/>
    <w:uiPriority w:val="99"/>
    <w:rsid w:val="00732756"/>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732756"/>
    <w:pPr>
      <w:tabs>
        <w:tab w:val="center" w:pos="4680"/>
        <w:tab w:val="right" w:pos="9360"/>
      </w:tabs>
    </w:pPr>
  </w:style>
  <w:style w:type="character" w:customStyle="1" w:styleId="FooterChar">
    <w:name w:val="Footer Char"/>
    <w:basedOn w:val="DefaultParagraphFont"/>
    <w:link w:val="Footer"/>
    <w:uiPriority w:val="99"/>
    <w:rsid w:val="00732756"/>
    <w:rPr>
      <w:rFonts w:ascii="Times New Roman" w:eastAsia="Times New Roman" w:hAnsi="Times New Roman" w:cs="Times New Roman"/>
      <w:sz w:val="24"/>
      <w:szCs w:val="24"/>
      <w:lang w:val="en-US" w:eastAsia="en-PH"/>
    </w:rPr>
  </w:style>
  <w:style w:type="paragraph" w:styleId="ListParagraph">
    <w:name w:val="List Paragraph"/>
    <w:basedOn w:val="Normal"/>
    <w:uiPriority w:val="34"/>
    <w:qFormat/>
    <w:rsid w:val="00B0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ISO-Guest</dc:creator>
  <cp:keywords/>
  <dc:description/>
  <cp:lastModifiedBy>User</cp:lastModifiedBy>
  <cp:revision>2</cp:revision>
  <cp:lastPrinted>2022-03-14T10:36:00Z</cp:lastPrinted>
  <dcterms:created xsi:type="dcterms:W3CDTF">2022-04-06T09:59:00Z</dcterms:created>
  <dcterms:modified xsi:type="dcterms:W3CDTF">2022-04-06T09:59:00Z</dcterms:modified>
</cp:coreProperties>
</file>